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D" w:rsidRPr="00DA5746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C85E72" w:rsidRPr="00DA5746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 xml:space="preserve">  17</w:t>
      </w:r>
      <w:r w:rsidR="00C85E72" w:rsidRPr="00DA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E72" w:rsidRPr="00DA5746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="009C0664" w:rsidRPr="00DA5746">
        <w:rPr>
          <w:rFonts w:ascii="Times New Roman" w:hAnsi="Times New Roman" w:cs="Times New Roman"/>
          <w:sz w:val="24"/>
          <w:szCs w:val="24"/>
        </w:rPr>
        <w:t xml:space="preserve"> </w:t>
      </w:r>
      <w:r w:rsidR="00C85E72" w:rsidRPr="00DA5746">
        <w:rPr>
          <w:rFonts w:ascii="Times New Roman" w:hAnsi="Times New Roman" w:cs="Times New Roman"/>
          <w:sz w:val="24"/>
          <w:szCs w:val="24"/>
        </w:rPr>
        <w:t>- Dignano</w:t>
      </w:r>
    </w:p>
    <w:p w:rsidR="00C4495D" w:rsidRPr="00DA5746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sz w:val="24"/>
          <w:szCs w:val="24"/>
        </w:rPr>
        <w:t>OIB 12242845735</w:t>
      </w:r>
    </w:p>
    <w:p w:rsidR="00C4495D" w:rsidRPr="00DA5746" w:rsidRDefault="00C4495D" w:rsidP="00C4495D">
      <w:pPr>
        <w:rPr>
          <w:rFonts w:ascii="Times New Roman" w:hAnsi="Times New Roman" w:cs="Times New Roman"/>
          <w:sz w:val="24"/>
          <w:szCs w:val="24"/>
        </w:rPr>
      </w:pPr>
    </w:p>
    <w:p w:rsidR="00C85E72" w:rsidRPr="00DA5746" w:rsidRDefault="00C85E72" w:rsidP="00C4495D">
      <w:pPr>
        <w:rPr>
          <w:rFonts w:ascii="Times New Roman" w:hAnsi="Times New Roman" w:cs="Times New Roman"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sz w:val="24"/>
          <w:szCs w:val="24"/>
        </w:rPr>
        <w:t>Klasa: 400-0</w:t>
      </w:r>
      <w:r w:rsidR="003F3B0A" w:rsidRPr="00DA5746">
        <w:rPr>
          <w:rFonts w:ascii="Times New Roman" w:hAnsi="Times New Roman" w:cs="Times New Roman"/>
          <w:sz w:val="24"/>
          <w:szCs w:val="24"/>
        </w:rPr>
        <w:t>2</w:t>
      </w:r>
      <w:r w:rsidRPr="00DA5746">
        <w:rPr>
          <w:rFonts w:ascii="Times New Roman" w:hAnsi="Times New Roman" w:cs="Times New Roman"/>
          <w:sz w:val="24"/>
          <w:szCs w:val="24"/>
        </w:rPr>
        <w:t>/</w:t>
      </w:r>
      <w:r w:rsidR="00D471D2" w:rsidRPr="00DA5746">
        <w:rPr>
          <w:rFonts w:ascii="Times New Roman" w:hAnsi="Times New Roman" w:cs="Times New Roman"/>
          <w:sz w:val="24"/>
          <w:szCs w:val="24"/>
        </w:rPr>
        <w:t>2</w:t>
      </w:r>
      <w:r w:rsidR="004A4A43" w:rsidRPr="00DA5746">
        <w:rPr>
          <w:rFonts w:ascii="Times New Roman" w:hAnsi="Times New Roman" w:cs="Times New Roman"/>
          <w:sz w:val="24"/>
          <w:szCs w:val="24"/>
        </w:rPr>
        <w:t>3-01/4</w:t>
      </w:r>
    </w:p>
    <w:p w:rsidR="00C4495D" w:rsidRPr="00DA5746" w:rsidRDefault="003F3B0A" w:rsidP="00C4495D">
      <w:pPr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sz w:val="24"/>
          <w:szCs w:val="24"/>
        </w:rPr>
        <w:t>Ur.br.: 216</w:t>
      </w:r>
      <w:r w:rsidR="004A4A43" w:rsidRPr="00DA5746">
        <w:rPr>
          <w:rFonts w:ascii="Times New Roman" w:hAnsi="Times New Roman" w:cs="Times New Roman"/>
          <w:sz w:val="24"/>
          <w:szCs w:val="24"/>
        </w:rPr>
        <w:t>3-10</w:t>
      </w:r>
      <w:r w:rsidRPr="00DA5746">
        <w:rPr>
          <w:rFonts w:ascii="Times New Roman" w:hAnsi="Times New Roman" w:cs="Times New Roman"/>
          <w:sz w:val="24"/>
          <w:szCs w:val="24"/>
        </w:rPr>
        <w:t>-</w:t>
      </w:r>
      <w:r w:rsidR="004A4A43" w:rsidRPr="00DA5746">
        <w:rPr>
          <w:rFonts w:ascii="Times New Roman" w:hAnsi="Times New Roman" w:cs="Times New Roman"/>
          <w:sz w:val="24"/>
          <w:szCs w:val="24"/>
        </w:rPr>
        <w:t>1-23-01-1</w:t>
      </w: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6E" w:rsidRPr="00DA5746" w:rsidRDefault="0098186E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DB2" w:rsidRPr="00DA5746" w:rsidRDefault="00146DB2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3F3B0A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PRIJEDLOG FINANCIJ</w:t>
      </w:r>
      <w:r w:rsidR="00301D03" w:rsidRPr="00DA5746">
        <w:rPr>
          <w:rFonts w:ascii="Times New Roman" w:hAnsi="Times New Roman" w:cs="Times New Roman"/>
          <w:b/>
          <w:sz w:val="24"/>
          <w:szCs w:val="24"/>
        </w:rPr>
        <w:t>S</w:t>
      </w:r>
      <w:r w:rsidRPr="00DA5746">
        <w:rPr>
          <w:rFonts w:ascii="Times New Roman" w:hAnsi="Times New Roman" w:cs="Times New Roman"/>
          <w:b/>
          <w:sz w:val="24"/>
          <w:szCs w:val="24"/>
        </w:rPr>
        <w:t>KOG</w:t>
      </w:r>
      <w:r w:rsidR="00C4495D" w:rsidRPr="00DA5746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Pr="00DA5746">
        <w:rPr>
          <w:rFonts w:ascii="Times New Roman" w:hAnsi="Times New Roman" w:cs="Times New Roman"/>
          <w:b/>
          <w:sz w:val="24"/>
          <w:szCs w:val="24"/>
        </w:rPr>
        <w:t>A</w:t>
      </w:r>
      <w:r w:rsidR="00C4495D" w:rsidRPr="00DA5746">
        <w:rPr>
          <w:rFonts w:ascii="Times New Roman" w:hAnsi="Times New Roman" w:cs="Times New Roman"/>
          <w:b/>
          <w:sz w:val="24"/>
          <w:szCs w:val="24"/>
        </w:rPr>
        <w:t xml:space="preserve"> PRORAČUNSKOG KORISNIKA</w:t>
      </w:r>
    </w:p>
    <w:p w:rsidR="00C4495D" w:rsidRPr="00DA5746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 xml:space="preserve">D.V.-S.I. PETAR PAN VODNJAN-DIGNANO </w:t>
      </w:r>
    </w:p>
    <w:p w:rsidR="00C4495D" w:rsidRPr="00DA5746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ZA 20</w:t>
      </w:r>
      <w:r w:rsidR="001B6923" w:rsidRPr="00DA5746">
        <w:rPr>
          <w:rFonts w:ascii="Times New Roman" w:hAnsi="Times New Roman" w:cs="Times New Roman"/>
          <w:b/>
          <w:sz w:val="24"/>
          <w:szCs w:val="24"/>
        </w:rPr>
        <w:t>2</w:t>
      </w:r>
      <w:r w:rsidR="00354285" w:rsidRPr="00DA5746">
        <w:rPr>
          <w:rFonts w:ascii="Times New Roman" w:hAnsi="Times New Roman" w:cs="Times New Roman"/>
          <w:b/>
          <w:sz w:val="24"/>
          <w:szCs w:val="24"/>
        </w:rPr>
        <w:t>4</w:t>
      </w:r>
      <w:r w:rsidRPr="00DA5746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C4495D" w:rsidRPr="00DA5746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SA PROJEKCIJAMA ZA 20</w:t>
      </w:r>
      <w:r w:rsidR="001B6923" w:rsidRPr="00DA5746">
        <w:rPr>
          <w:rFonts w:ascii="Times New Roman" w:hAnsi="Times New Roman" w:cs="Times New Roman"/>
          <w:b/>
          <w:sz w:val="24"/>
          <w:szCs w:val="24"/>
        </w:rPr>
        <w:t>2</w:t>
      </w:r>
      <w:r w:rsidR="00354285" w:rsidRPr="00DA5746">
        <w:rPr>
          <w:rFonts w:ascii="Times New Roman" w:hAnsi="Times New Roman" w:cs="Times New Roman"/>
          <w:b/>
          <w:sz w:val="24"/>
          <w:szCs w:val="24"/>
        </w:rPr>
        <w:t>5</w:t>
      </w:r>
      <w:r w:rsidRPr="00DA5746">
        <w:rPr>
          <w:rFonts w:ascii="Times New Roman" w:hAnsi="Times New Roman" w:cs="Times New Roman"/>
          <w:b/>
          <w:sz w:val="24"/>
          <w:szCs w:val="24"/>
        </w:rPr>
        <w:t>. I 202</w:t>
      </w:r>
      <w:r w:rsidR="00354285" w:rsidRPr="00DA5746">
        <w:rPr>
          <w:rFonts w:ascii="Times New Roman" w:hAnsi="Times New Roman" w:cs="Times New Roman"/>
          <w:b/>
          <w:sz w:val="24"/>
          <w:szCs w:val="24"/>
        </w:rPr>
        <w:t>6</w:t>
      </w:r>
      <w:r w:rsidR="001B6923" w:rsidRPr="00DA5746">
        <w:rPr>
          <w:rFonts w:ascii="Times New Roman" w:hAnsi="Times New Roman" w:cs="Times New Roman"/>
          <w:b/>
          <w:sz w:val="24"/>
          <w:szCs w:val="24"/>
        </w:rPr>
        <w:t>.</w:t>
      </w:r>
      <w:r w:rsidRPr="00DA5746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C4495D" w:rsidRPr="00DA5746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E856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DA5746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3F3B0A" w:rsidRPr="00DA5746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3F3B0A" w:rsidRPr="00DA5746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22067" w:rsidRPr="00DA5746" w:rsidRDefault="00922067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98186E" w:rsidRPr="00DA5746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4D21F0" w:rsidRPr="00DA5746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:rsidR="00C4495D" w:rsidRPr="00DA5746" w:rsidRDefault="00C4495D" w:rsidP="00C4495D">
      <w:pPr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354285" w:rsidRPr="00DA5746">
        <w:rPr>
          <w:rFonts w:ascii="Times New Roman" w:hAnsi="Times New Roman" w:cs="Times New Roman"/>
          <w:bCs/>
          <w:sz w:val="24"/>
          <w:szCs w:val="24"/>
        </w:rPr>
        <w:t>listopad</w:t>
      </w:r>
      <w:r w:rsidR="00D471D2" w:rsidRPr="00DA574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54285" w:rsidRPr="00DA5746">
        <w:rPr>
          <w:rFonts w:ascii="Times New Roman" w:hAnsi="Times New Roman" w:cs="Times New Roman"/>
          <w:bCs/>
          <w:sz w:val="24"/>
          <w:szCs w:val="24"/>
        </w:rPr>
        <w:t>3</w:t>
      </w:r>
      <w:r w:rsidR="0010165C"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5A6" w:rsidRPr="00DA5746" w:rsidRDefault="00BC55A6" w:rsidP="00BC55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AD8" w:rsidRPr="00DA5746" w:rsidRDefault="00810BBF" w:rsidP="00BC55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46">
        <w:rPr>
          <w:rFonts w:ascii="Times New Roman" w:hAnsi="Times New Roman" w:cs="Times New Roman"/>
          <w:b/>
          <w:sz w:val="28"/>
          <w:szCs w:val="28"/>
        </w:rPr>
        <w:lastRenderedPageBreak/>
        <w:t>OBRAZLOŽENJE FINANCIJSKOG</w:t>
      </w:r>
      <w:r w:rsidR="00BC55A6" w:rsidRPr="00DA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46">
        <w:rPr>
          <w:rFonts w:ascii="Times New Roman" w:hAnsi="Times New Roman" w:cs="Times New Roman"/>
          <w:b/>
          <w:sz w:val="28"/>
          <w:szCs w:val="28"/>
        </w:rPr>
        <w:t>PLANA 202</w:t>
      </w:r>
      <w:r w:rsidR="00437164" w:rsidRPr="00DA5746">
        <w:rPr>
          <w:rFonts w:ascii="Times New Roman" w:hAnsi="Times New Roman" w:cs="Times New Roman"/>
          <w:b/>
          <w:sz w:val="28"/>
          <w:szCs w:val="28"/>
        </w:rPr>
        <w:t>4</w:t>
      </w:r>
      <w:r w:rsidRPr="00DA5746">
        <w:rPr>
          <w:rFonts w:ascii="Times New Roman" w:hAnsi="Times New Roman" w:cs="Times New Roman"/>
          <w:b/>
          <w:sz w:val="28"/>
          <w:szCs w:val="28"/>
        </w:rPr>
        <w:t>.-202</w:t>
      </w:r>
      <w:r w:rsidR="00437164" w:rsidRPr="00DA5746">
        <w:rPr>
          <w:rFonts w:ascii="Times New Roman" w:hAnsi="Times New Roman" w:cs="Times New Roman"/>
          <w:b/>
          <w:sz w:val="28"/>
          <w:szCs w:val="28"/>
        </w:rPr>
        <w:t>6</w:t>
      </w:r>
      <w:r w:rsidRPr="00DA5746">
        <w:rPr>
          <w:rFonts w:ascii="Times New Roman" w:hAnsi="Times New Roman" w:cs="Times New Roman"/>
          <w:b/>
          <w:sz w:val="28"/>
          <w:szCs w:val="28"/>
        </w:rPr>
        <w:t>.</w:t>
      </w:r>
    </w:p>
    <w:p w:rsidR="009163AE" w:rsidRPr="00DA5746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3AE" w:rsidRPr="00DA5746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746">
        <w:rPr>
          <w:rFonts w:ascii="Times New Roman" w:hAnsi="Times New Roman" w:cs="Times New Roman"/>
          <w:b/>
          <w:bCs/>
          <w:sz w:val="24"/>
          <w:szCs w:val="24"/>
        </w:rPr>
        <w:t>OBRAZLOŽENJE OPĆEG DIJELA FINANCIJSKOG PLANA</w:t>
      </w:r>
    </w:p>
    <w:p w:rsidR="00AE636A" w:rsidRPr="00DA5746" w:rsidRDefault="00AE636A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3AE" w:rsidRPr="00DA5746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U financijskom planu za 202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Cs/>
          <w:sz w:val="24"/>
          <w:szCs w:val="24"/>
        </w:rPr>
        <w:t>. godinu sa projekcijama plana za 202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5</w:t>
      </w:r>
      <w:r w:rsidRPr="00DA5746">
        <w:rPr>
          <w:rFonts w:ascii="Times New Roman" w:hAnsi="Times New Roman" w:cs="Times New Roman"/>
          <w:bCs/>
          <w:sz w:val="24"/>
          <w:szCs w:val="24"/>
        </w:rPr>
        <w:t>. i 202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6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godinu planirani su 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>ukupni prihodi i primici za 202</w:t>
      </w:r>
      <w:r w:rsidR="00906AB6" w:rsidRPr="00DA57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>. godinu u iznosu od 1.</w:t>
      </w:r>
      <w:r w:rsidR="00906AB6" w:rsidRPr="00DA5746">
        <w:rPr>
          <w:rFonts w:ascii="Times New Roman" w:hAnsi="Times New Roman" w:cs="Times New Roman"/>
          <w:b/>
          <w:bCs/>
          <w:sz w:val="24"/>
          <w:szCs w:val="24"/>
        </w:rPr>
        <w:t>404.700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>,00 eur</w:t>
      </w:r>
      <w:r w:rsidR="00CD1AF5" w:rsidRPr="00DA57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prihode poslovanja.</w:t>
      </w:r>
    </w:p>
    <w:p w:rsidR="00183C8B" w:rsidRPr="00DA5746" w:rsidRDefault="00203DC1" w:rsidP="0032507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Opći prihodi i primici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iz nadležnog proračuna za financiranje redovne djelatno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 xml:space="preserve">sti </w:t>
      </w:r>
      <w:r w:rsidRPr="00DA5746">
        <w:rPr>
          <w:rFonts w:ascii="Times New Roman" w:hAnsi="Times New Roman" w:cs="Times New Roman"/>
          <w:bCs/>
          <w:sz w:val="24"/>
          <w:szCs w:val="24"/>
        </w:rPr>
        <w:t>za 202</w:t>
      </w:r>
      <w:r w:rsidR="00D529F3">
        <w:rPr>
          <w:rFonts w:ascii="Times New Roman" w:hAnsi="Times New Roman" w:cs="Times New Roman"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godinu iznose 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1.08</w:t>
      </w:r>
      <w:r w:rsidR="00183C8B" w:rsidRPr="00DA5746">
        <w:rPr>
          <w:rFonts w:ascii="Times New Roman" w:hAnsi="Times New Roman" w:cs="Times New Roman"/>
          <w:bCs/>
          <w:sz w:val="24"/>
          <w:szCs w:val="24"/>
        </w:rPr>
        <w:t>4.8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00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,00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Prihodi iz nadležnog proračuna za financiranje rashoda poslovanja iznose 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1.031.3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00</w:t>
      </w:r>
      <w:r w:rsidRPr="00DA5746">
        <w:rPr>
          <w:rFonts w:ascii="Times New Roman" w:hAnsi="Times New Roman" w:cs="Times New Roman"/>
          <w:bCs/>
          <w:sz w:val="24"/>
          <w:szCs w:val="24"/>
        </w:rPr>
        <w:t>,00</w:t>
      </w:r>
      <w:r w:rsidR="003B40E4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eur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, prihodi iz nadležnog proračuna za financiranje rashoda za nabavu nefinancijske imovine iznose 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5</w:t>
      </w:r>
      <w:r w:rsidRPr="00DA5746">
        <w:rPr>
          <w:rFonts w:ascii="Times New Roman" w:hAnsi="Times New Roman" w:cs="Times New Roman"/>
          <w:bCs/>
          <w:sz w:val="24"/>
          <w:szCs w:val="24"/>
        </w:rPr>
        <w:t>.000,00 eur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a prihodi iz nadležnog proračuna za financiranje izdataka za financijsku imovinu i otplatu zajmova planirani su u visini rashoda prema trenutno važećem otplatnom planu dugoročnog kredita te iznose 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2</w:t>
      </w:r>
      <w:r w:rsidR="00257F6E">
        <w:rPr>
          <w:rFonts w:ascii="Times New Roman" w:hAnsi="Times New Roman" w:cs="Times New Roman"/>
          <w:bCs/>
          <w:sz w:val="24"/>
          <w:szCs w:val="24"/>
        </w:rPr>
        <w:t>8.5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  <w:r w:rsidR="00CD1AF5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DC1" w:rsidRPr="00DA5746" w:rsidRDefault="00CD1AF5" w:rsidP="0032507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Prihodi iz nadležnog proračuna za  financiranje programa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 xml:space="preserve"> iznose 1.600,00 eura.</w:t>
      </w:r>
    </w:p>
    <w:p w:rsidR="00BC55A6" w:rsidRPr="00DA5746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03DC1" w:rsidRPr="00DA5746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Prihodi po posebnim propisima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6C696F" w:rsidRPr="00DA5746">
        <w:rPr>
          <w:rFonts w:ascii="Times New Roman" w:hAnsi="Times New Roman" w:cs="Times New Roman"/>
          <w:bCs/>
          <w:sz w:val="24"/>
          <w:szCs w:val="24"/>
        </w:rPr>
        <w:t>planirani su u iznosu od 17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5.000</w:t>
      </w:r>
      <w:r w:rsidR="006C696F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6C696F" w:rsidRPr="00DA57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A5746">
        <w:rPr>
          <w:rFonts w:ascii="Times New Roman" w:hAnsi="Times New Roman" w:cs="Times New Roman"/>
          <w:bCs/>
          <w:sz w:val="24"/>
          <w:szCs w:val="24"/>
        </w:rPr>
        <w:t>Iz navedenih prihoda planira se pokriće materijalnih rashoda ustanove, financijskih rashoda te rashoda za nabavu nefinancijske imovine.</w:t>
      </w:r>
    </w:p>
    <w:p w:rsidR="00203DC1" w:rsidRPr="00DA5746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03DC1" w:rsidRPr="00DA5746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Prihodi od prodaje proizvoda i roba te pruženih usluga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planirani su iznosu </w:t>
      </w:r>
      <w:r w:rsidR="00BC55A6" w:rsidRPr="00DA5746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Pr="00DA5746">
        <w:rPr>
          <w:rFonts w:ascii="Times New Roman" w:hAnsi="Times New Roman" w:cs="Times New Roman"/>
          <w:bCs/>
          <w:sz w:val="24"/>
          <w:szCs w:val="24"/>
        </w:rPr>
        <w:t>12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>0</w:t>
      </w:r>
      <w:r w:rsidRPr="00DA5746">
        <w:rPr>
          <w:rFonts w:ascii="Times New Roman" w:hAnsi="Times New Roman" w:cs="Times New Roman"/>
          <w:bCs/>
          <w:sz w:val="24"/>
          <w:szCs w:val="24"/>
        </w:rPr>
        <w:t>.000,00 eur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 pripremu hrane za vanjske korisnike. Ostvarena sredstva planiraju se utrošiti na rashode za zaposlene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,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na materijalne rashode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 xml:space="preserve"> te na rashode za nabavu nefinancijske imovine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203DC1" w:rsidRPr="00DA5746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03DC1" w:rsidRPr="00DA5746" w:rsidRDefault="00203DC1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Prihodi od pomoći proračunskim korisnicima iz proračuna koji im nije nadležan</w:t>
      </w:r>
      <w:r w:rsidR="00906AB6" w:rsidRPr="00DA5746">
        <w:rPr>
          <w:rFonts w:ascii="Times New Roman" w:hAnsi="Times New Roman" w:cs="Times New Roman"/>
          <w:bCs/>
          <w:sz w:val="24"/>
          <w:szCs w:val="24"/>
        </w:rPr>
        <w:t xml:space="preserve"> planiraju se u iznosu od 17.8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a odnose se na tekuće pomoći iz državnog proračuna od Ministarstva znanosti i obrazovanja za sufinanciranje programa javnih potreba koji se ostvaruju u dječjim vrtićima za provedbu programa predškolskog odgoja i obrazovanja za djecu predškolske dobi pripadnika nacionalnih manjina, za djecu u programu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>, za darovitu djecu te za djecu s teškoćama.</w:t>
      </w:r>
    </w:p>
    <w:p w:rsidR="00BC55A6" w:rsidRPr="00DA5746" w:rsidRDefault="00BC55A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5A6" w:rsidRPr="00DA5746" w:rsidRDefault="00BC55A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Prihodi od donacija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 pravnih osoba izvan općeg proračuna planiraju se u iznosu od 5.500,00 eur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tekuće donacije Talijanske Unije.</w:t>
      </w:r>
    </w:p>
    <w:p w:rsidR="006C696F" w:rsidRPr="00DA5746" w:rsidRDefault="006C696F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3AE" w:rsidRPr="00DA5746" w:rsidRDefault="009163AE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/>
          <w:bCs/>
          <w:sz w:val="24"/>
          <w:szCs w:val="24"/>
        </w:rPr>
        <w:t>Ukupni rashodi i izdaci za 202</w:t>
      </w:r>
      <w:r w:rsidR="00906AB6" w:rsidRPr="00DA57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>. godinu planirani su u iznosu od 1.</w:t>
      </w:r>
      <w:r w:rsidR="00906AB6" w:rsidRPr="00DA5746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A42CD2" w:rsidRPr="00DA57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F3A93" w:rsidRPr="00DA57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2CD2" w:rsidRPr="00DA5746">
        <w:rPr>
          <w:rFonts w:ascii="Times New Roman" w:hAnsi="Times New Roman" w:cs="Times New Roman"/>
          <w:b/>
          <w:bCs/>
          <w:sz w:val="24"/>
          <w:szCs w:val="24"/>
        </w:rPr>
        <w:t>700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>,00 eur</w:t>
      </w:r>
      <w:r w:rsidR="009F3A93" w:rsidRPr="00DA57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od čega su rashodi poslovanja planirani u iznosu od 1.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329.180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9F3A93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rashodi za nabavu nefinancijske imovine u iznosu od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43.7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203DC1" w:rsidRPr="00DA5746">
        <w:rPr>
          <w:rFonts w:ascii="Times New Roman" w:hAnsi="Times New Roman" w:cs="Times New Roman"/>
          <w:bCs/>
          <w:sz w:val="24"/>
          <w:szCs w:val="24"/>
        </w:rPr>
        <w:t>, izdaci za financi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jsku imovinu i otplatu zajmova </w:t>
      </w:r>
      <w:r w:rsidR="00203DC1" w:rsidRPr="00DA5746">
        <w:rPr>
          <w:rFonts w:ascii="Times New Roman" w:hAnsi="Times New Roman" w:cs="Times New Roman"/>
          <w:bCs/>
          <w:sz w:val="24"/>
          <w:szCs w:val="24"/>
        </w:rPr>
        <w:t>u iznosu od 28.500,00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203DC1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te u 202</w:t>
      </w:r>
      <w:r w:rsidR="00C817EB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3B40E4" w:rsidRPr="00DA5746">
        <w:rPr>
          <w:rFonts w:ascii="Times New Roman" w:hAnsi="Times New Roman" w:cs="Times New Roman"/>
          <w:bCs/>
          <w:sz w:val="24"/>
          <w:szCs w:val="24"/>
        </w:rPr>
        <w:t xml:space="preserve">planira se pokriće manjka prethodnih godina </w:t>
      </w:r>
      <w:r w:rsidRPr="00DA5746">
        <w:rPr>
          <w:rFonts w:ascii="Times New Roman" w:hAnsi="Times New Roman" w:cs="Times New Roman"/>
          <w:bCs/>
          <w:sz w:val="24"/>
          <w:szCs w:val="24"/>
        </w:rPr>
        <w:t>u iznosu od 3.320,00 eu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ra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D5386" w:rsidRPr="00DA5746" w:rsidRDefault="009D5386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Rashodi poslovanja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planirani su u iznosu od 1.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329.180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F83" w:rsidRPr="00DA5746" w:rsidRDefault="007D1396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Rashodi za zaposlene planirani su u iznosu od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966.000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od čega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943.000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iz općih prih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oda i primitaka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. Z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a bruto plaću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 xml:space="preserve">  planira se iznos od 890.000,00 eura a za ostale rashode za zaposlene –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1D2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regres, božićnicu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, dar djeci do 15 godine, dar u naravi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 xml:space="preserve"> te otpremnine planira se iznos od 53.000,00 eura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 xml:space="preserve">. Iz vlastitih prihoda planira se iznos od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23.000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 xml:space="preserve"> od čega za bruto plaću 15.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000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, a za ostale rashode za zaposlene</w:t>
      </w:r>
      <w:r w:rsidR="00731F83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–jubilarne nagrade</w:t>
      </w:r>
      <w:r w:rsidR="00731F83" w:rsidRPr="00DA5746">
        <w:rPr>
          <w:rFonts w:ascii="Times New Roman" w:hAnsi="Times New Roman" w:cs="Times New Roman"/>
          <w:bCs/>
          <w:sz w:val="24"/>
          <w:szCs w:val="24"/>
        </w:rPr>
        <w:t>, naknade za bolest, invalidnost i smrtni slučaj, naknad</w:t>
      </w:r>
      <w:r w:rsidR="00115F55">
        <w:rPr>
          <w:rFonts w:ascii="Times New Roman" w:hAnsi="Times New Roman" w:cs="Times New Roman"/>
          <w:bCs/>
          <w:sz w:val="24"/>
          <w:szCs w:val="24"/>
        </w:rPr>
        <w:t>e</w:t>
      </w:r>
      <w:r w:rsidR="00731F83" w:rsidRPr="00DA5746">
        <w:rPr>
          <w:rFonts w:ascii="Times New Roman" w:hAnsi="Times New Roman" w:cs="Times New Roman"/>
          <w:bCs/>
          <w:sz w:val="24"/>
          <w:szCs w:val="24"/>
        </w:rPr>
        <w:t xml:space="preserve"> za duže bolovanje preko 90 dana </w:t>
      </w:r>
      <w:r w:rsidR="00115F55">
        <w:rPr>
          <w:rFonts w:ascii="Times New Roman" w:hAnsi="Times New Roman" w:cs="Times New Roman"/>
          <w:bCs/>
          <w:sz w:val="24"/>
          <w:szCs w:val="24"/>
        </w:rPr>
        <w:t>te za naknade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 xml:space="preserve"> za novorođenče</w:t>
      </w:r>
      <w:r w:rsidR="00731F83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A33" w:rsidRPr="00DA5746">
        <w:rPr>
          <w:rFonts w:ascii="Times New Roman" w:hAnsi="Times New Roman" w:cs="Times New Roman"/>
          <w:bCs/>
          <w:sz w:val="24"/>
          <w:szCs w:val="24"/>
        </w:rPr>
        <w:t>plan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ira se iznos od  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8.000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A42CD2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731F83"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D6E47" w:rsidRPr="00DA5746" w:rsidRDefault="003D6E47" w:rsidP="00731F8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Materijalni rashodi planirani su u ukupnom iznosu od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359.780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D6E47" w:rsidRPr="00DA5746" w:rsidRDefault="003D6E47" w:rsidP="00A24A3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Materijalni rashodi planiraju se iz općih prihoda i primitaka u iznosu od 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88.6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 čega</w:t>
      </w:r>
      <w:r w:rsidR="00DC2C20" w:rsidRPr="00DA5746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87.0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C20" w:rsidRPr="00DA5746">
        <w:rPr>
          <w:rFonts w:ascii="Times New Roman" w:hAnsi="Times New Roman" w:cs="Times New Roman"/>
          <w:bCs/>
          <w:sz w:val="24"/>
          <w:szCs w:val="24"/>
        </w:rPr>
        <w:t>o</w:t>
      </w:r>
      <w:r w:rsidRPr="00DA5746">
        <w:rPr>
          <w:rFonts w:ascii="Times New Roman" w:hAnsi="Times New Roman" w:cs="Times New Roman"/>
          <w:bCs/>
          <w:sz w:val="24"/>
          <w:szCs w:val="24"/>
        </w:rPr>
        <w:t>dnose na materijalne troškove za redovn</w:t>
      </w:r>
      <w:r w:rsidR="00DC2C20" w:rsidRPr="00DA5746">
        <w:rPr>
          <w:rFonts w:ascii="Times New Roman" w:hAnsi="Times New Roman" w:cs="Times New Roman"/>
          <w:bCs/>
          <w:sz w:val="24"/>
          <w:szCs w:val="24"/>
        </w:rPr>
        <w:t>i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program dok 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se iznos od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1.600,00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odnos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i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na materijalne troškove za program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2C20" w:rsidRPr="00DA5746" w:rsidRDefault="00DC2C20" w:rsidP="00DC2C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Materijalni rashodi planiraju se iz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vlastitih prihoda u iznosu od  88.080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 Naknade troškova zaposl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enima planiraju se u iznosu od 28.58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0,00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nakn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du 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prijevoza sa i na posao te na troškove prehrane radnika.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Rashodi za materijal i energiju planiraju se u iznosu od 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56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500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518F">
        <w:rPr>
          <w:rFonts w:ascii="Times New Roman" w:hAnsi="Times New Roman" w:cs="Times New Roman"/>
          <w:bCs/>
          <w:sz w:val="24"/>
          <w:szCs w:val="24"/>
        </w:rPr>
        <w:t>Rashodi za usluge planiraju se u iznosu od 3.000,00 eura a odnose se na usluge tekućeg i investicijskog održavanja.</w:t>
      </w:r>
    </w:p>
    <w:p w:rsidR="00D15EB9" w:rsidRPr="00DA5746" w:rsidRDefault="00DC2C20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Materijalni rashodi iz prihoda za posebne namjene planiraju se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u iznosu od  16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3.4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E34130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 Naknade troškova zaposlenima planiraju se u iznosu od 3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4.010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 a odnose s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e na službena putovanja, naknade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 za prijevoz sa i na posao, stručno usavršavanje zaposlenika i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na troškove prehrane radnika.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Rashodi za materijal i energiju planiraj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u se u iznosu od 7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0.360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a odnose se na uredski materijal i ostale materijalne rashode, materijal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i sirovine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, energiju, materijal i dijelove za tekuće održavanje, sitan inventar te na službenu, rad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nu i zaštitnu odjeću i obuću.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Rashodi za usluge planiraju se u iznosu od 4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6.530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usluge telefona pošte i prijevoza, usluge tekućeg i investicijskog održavanja, usluge promi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džbe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i informiranja, komunalne usluge, zakupnine i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najamnine, zdravstvene usluge, intelektualne usluge, računalne usluge te ostale usluge. Ostali nespomenuti rashodi poslovanja planiraju se u iznosu od 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12.5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 a odnose se na 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 xml:space="preserve">naknade za rad članovima upravnog vijeća, </w:t>
      </w:r>
      <w:r w:rsidR="00D15EB9" w:rsidRPr="00DA5746">
        <w:rPr>
          <w:rFonts w:ascii="Times New Roman" w:hAnsi="Times New Roman" w:cs="Times New Roman"/>
          <w:bCs/>
          <w:sz w:val="24"/>
          <w:szCs w:val="24"/>
        </w:rPr>
        <w:t xml:space="preserve">premije osiguranja, reprezentaciju, pristojbe i naknade te ostale nespomenute rashode poslovanja. </w:t>
      </w:r>
    </w:p>
    <w:p w:rsidR="00D15EB9" w:rsidRPr="00DA5746" w:rsidRDefault="00D15EB9" w:rsidP="00D15EB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Materijalni rashodi iz pomoći planiraju se 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Pr="00DA5746">
        <w:rPr>
          <w:rFonts w:ascii="Times New Roman" w:hAnsi="Times New Roman" w:cs="Times New Roman"/>
          <w:bCs/>
          <w:sz w:val="24"/>
          <w:szCs w:val="24"/>
        </w:rPr>
        <w:t>1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5.2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, od čega 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1.60</w:t>
      </w:r>
      <w:r w:rsidRPr="00DA5746">
        <w:rPr>
          <w:rFonts w:ascii="Times New Roman" w:hAnsi="Times New Roman" w:cs="Times New Roman"/>
          <w:bCs/>
          <w:sz w:val="24"/>
          <w:szCs w:val="24"/>
        </w:rPr>
        <w:t>0,00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planira za stručno usavršavanje zapos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l</w:t>
      </w:r>
      <w:r w:rsidRPr="00DA5746">
        <w:rPr>
          <w:rFonts w:ascii="Times New Roman" w:hAnsi="Times New Roman" w:cs="Times New Roman"/>
          <w:bCs/>
          <w:sz w:val="24"/>
          <w:szCs w:val="24"/>
        </w:rPr>
        <w:t>enika</w:t>
      </w:r>
      <w:r w:rsidR="00FD1C16" w:rsidRPr="00DA57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iznos od 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12.8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D4101A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 planira za rashode za materijal a odnosi se na nabavu </w:t>
      </w:r>
      <w:r w:rsidR="00FD1C16" w:rsidRPr="00DA5746">
        <w:rPr>
          <w:rFonts w:ascii="Times New Roman" w:hAnsi="Times New Roman" w:cs="Times New Roman"/>
          <w:bCs/>
          <w:sz w:val="24"/>
          <w:szCs w:val="24"/>
        </w:rPr>
        <w:t xml:space="preserve">uredskog materijala, 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didaktike</w:t>
      </w:r>
      <w:r w:rsidR="009B1316">
        <w:rPr>
          <w:rFonts w:ascii="Times New Roman" w:hAnsi="Times New Roman" w:cs="Times New Roman"/>
          <w:bCs/>
          <w:sz w:val="24"/>
          <w:szCs w:val="24"/>
        </w:rPr>
        <w:t xml:space="preserve"> i sitnog</w:t>
      </w:r>
      <w:r w:rsidR="00FD1C16" w:rsidRPr="00DA5746">
        <w:rPr>
          <w:rFonts w:ascii="Times New Roman" w:hAnsi="Times New Roman" w:cs="Times New Roman"/>
          <w:bCs/>
          <w:sz w:val="24"/>
          <w:szCs w:val="24"/>
        </w:rPr>
        <w:t xml:space="preserve"> inventar</w:t>
      </w:r>
      <w:r w:rsidR="009B1316">
        <w:rPr>
          <w:rFonts w:ascii="Times New Roman" w:hAnsi="Times New Roman" w:cs="Times New Roman"/>
          <w:bCs/>
          <w:sz w:val="24"/>
          <w:szCs w:val="24"/>
        </w:rPr>
        <w:t>a</w:t>
      </w:r>
      <w:r w:rsidR="00FD1C16" w:rsidRPr="00DA5746">
        <w:rPr>
          <w:rFonts w:ascii="Times New Roman" w:hAnsi="Times New Roman" w:cs="Times New Roman"/>
          <w:bCs/>
          <w:sz w:val="24"/>
          <w:szCs w:val="24"/>
        </w:rPr>
        <w:t xml:space="preserve"> dok se za rashode za usluge planira 800,00 eura a odnos</w:t>
      </w:r>
      <w:r w:rsidR="009B1316">
        <w:rPr>
          <w:rFonts w:ascii="Times New Roman" w:hAnsi="Times New Roman" w:cs="Times New Roman"/>
          <w:bCs/>
          <w:sz w:val="24"/>
          <w:szCs w:val="24"/>
        </w:rPr>
        <w:t>e</w:t>
      </w:r>
      <w:r w:rsidR="00AE3FB4">
        <w:rPr>
          <w:rFonts w:ascii="Times New Roman" w:hAnsi="Times New Roman" w:cs="Times New Roman"/>
          <w:bCs/>
          <w:sz w:val="24"/>
          <w:szCs w:val="24"/>
        </w:rPr>
        <w:t xml:space="preserve"> se na autobusni prijevoz djece.</w:t>
      </w:r>
      <w:bookmarkStart w:id="0" w:name="_GoBack"/>
      <w:bookmarkEnd w:id="0"/>
    </w:p>
    <w:p w:rsidR="00492A96" w:rsidRPr="00DA5746" w:rsidRDefault="00492A96" w:rsidP="00492A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Materijalni rashodi iz donacija </w:t>
      </w:r>
      <w:r w:rsidR="00BC415B" w:rsidRPr="00DA5746">
        <w:rPr>
          <w:rFonts w:ascii="Times New Roman" w:hAnsi="Times New Roman" w:cs="Times New Roman"/>
          <w:bCs/>
          <w:sz w:val="24"/>
          <w:szCs w:val="24"/>
        </w:rPr>
        <w:t xml:space="preserve">planiraju se  u iznosu od </w:t>
      </w:r>
      <w:r w:rsidR="00FD1C16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Pr="00DA5746">
        <w:rPr>
          <w:rFonts w:ascii="Times New Roman" w:hAnsi="Times New Roman" w:cs="Times New Roman"/>
          <w:bCs/>
          <w:sz w:val="24"/>
          <w:szCs w:val="24"/>
        </w:rPr>
        <w:t>.500,00 eur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, a odnose se na didaktiku.</w:t>
      </w:r>
    </w:p>
    <w:p w:rsidR="00306489" w:rsidRPr="00DA5746" w:rsidRDefault="007D139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Financijski rashodi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u 202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>planirani s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>u u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 ukupnom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3.400</w:t>
      </w:r>
      <w:r w:rsidRPr="00DA5746">
        <w:rPr>
          <w:rFonts w:ascii="Times New Roman" w:hAnsi="Times New Roman" w:cs="Times New Roman"/>
          <w:bCs/>
          <w:sz w:val="24"/>
          <w:szCs w:val="24"/>
        </w:rPr>
        <w:t>,00 eur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5F55" w:rsidRDefault="009163AE" w:rsidP="0030648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Financijski 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>rashodi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u 202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Pr="00DA5746">
        <w:rPr>
          <w:rFonts w:ascii="Times New Roman" w:hAnsi="Times New Roman" w:cs="Times New Roman"/>
          <w:bCs/>
          <w:sz w:val="24"/>
          <w:szCs w:val="24"/>
        </w:rPr>
        <w:t>te u projekcijama financijskog plana za 202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5</w:t>
      </w:r>
      <w:r w:rsidRPr="00DA5746">
        <w:rPr>
          <w:rFonts w:ascii="Times New Roman" w:hAnsi="Times New Roman" w:cs="Times New Roman"/>
          <w:bCs/>
          <w:sz w:val="24"/>
          <w:szCs w:val="24"/>
        </w:rPr>
        <w:t>. i 202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6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>iz općih prihoda i primitaka  u iznosu od 1.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3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planirani su u skladu sa trenutno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važećim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otplatnim planom dugoročnog kredita Zagrebačke banke d.d. koji se realizirao </w:t>
      </w:r>
      <w:r w:rsidR="00306489" w:rsidRPr="00DA5746">
        <w:rPr>
          <w:rFonts w:ascii="Times New Roman" w:hAnsi="Times New Roman" w:cs="Times New Roman"/>
          <w:bCs/>
          <w:sz w:val="24"/>
          <w:szCs w:val="24"/>
        </w:rPr>
        <w:t>zbog projekta iz</w:t>
      </w:r>
      <w:r w:rsidR="00492A96" w:rsidRPr="00DA5746">
        <w:rPr>
          <w:rFonts w:ascii="Times New Roman" w:hAnsi="Times New Roman" w:cs="Times New Roman"/>
          <w:bCs/>
          <w:sz w:val="24"/>
          <w:szCs w:val="24"/>
        </w:rPr>
        <w:t xml:space="preserve">gradnje novog područnog vrtića u </w:t>
      </w:r>
      <w:proofErr w:type="spellStart"/>
      <w:r w:rsidR="00306489" w:rsidRPr="00DA5746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306489" w:rsidRPr="00DA5746">
        <w:rPr>
          <w:rFonts w:ascii="Times New Roman" w:hAnsi="Times New Roman" w:cs="Times New Roman"/>
          <w:bCs/>
          <w:sz w:val="24"/>
          <w:szCs w:val="24"/>
        </w:rPr>
        <w:t>.</w:t>
      </w:r>
      <w:r w:rsidR="00306489" w:rsidRPr="00DA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63AE" w:rsidRPr="00DA5746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F</w:t>
      </w:r>
      <w:r w:rsidR="00114236" w:rsidRPr="00DA5746">
        <w:rPr>
          <w:rFonts w:ascii="Times New Roman" w:hAnsi="Times New Roman" w:cs="Times New Roman"/>
          <w:bCs/>
          <w:sz w:val="24"/>
          <w:szCs w:val="24"/>
        </w:rPr>
        <w:t>inancijski rashodi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iz prihoda za posebne namjene u iznosu od 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2.10</w:t>
      </w:r>
      <w:r w:rsidRPr="00DA5746">
        <w:rPr>
          <w:rFonts w:ascii="Times New Roman" w:hAnsi="Times New Roman" w:cs="Times New Roman"/>
          <w:bCs/>
          <w:sz w:val="24"/>
          <w:szCs w:val="24"/>
        </w:rPr>
        <w:t>0,00 eur</w:t>
      </w:r>
      <w:r w:rsidR="00D32C15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odnose se na bankarske usluge i usluge platnog prometa.</w:t>
      </w:r>
      <w:r w:rsidR="00FE51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6489" w:rsidRPr="00DA5746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489" w:rsidRPr="00DA5746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  <w:u w:val="single"/>
        </w:rPr>
        <w:t>Rashodi za nabavu nefinancijske imovine</w:t>
      </w:r>
      <w:r w:rsidR="00114236" w:rsidRPr="00DA5746">
        <w:rPr>
          <w:rFonts w:ascii="Times New Roman" w:hAnsi="Times New Roman" w:cs="Times New Roman"/>
          <w:bCs/>
          <w:sz w:val="24"/>
          <w:szCs w:val="24"/>
        </w:rPr>
        <w:t xml:space="preserve"> planirani su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43.7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114236"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236" w:rsidRPr="00DA5746" w:rsidRDefault="00114236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Rashodi za nabavu nefinancijske imovine planirani iz općih prihoda i primitaka  u iznosu od 2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5</w:t>
      </w:r>
      <w:r w:rsidRPr="00DA5746">
        <w:rPr>
          <w:rFonts w:ascii="Times New Roman" w:hAnsi="Times New Roman" w:cs="Times New Roman"/>
          <w:bCs/>
          <w:sz w:val="24"/>
          <w:szCs w:val="24"/>
        </w:rPr>
        <w:t>.000,00 eur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odnose se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 xml:space="preserve"> na nabavu ili zamjenu dotrajale opreme sukladno godišnjem planu i programu odgojno-obrazovnog rada</w:t>
      </w:r>
      <w:r w:rsidR="00E2746F" w:rsidRPr="00DA5746">
        <w:rPr>
          <w:rFonts w:ascii="Times New Roman" w:hAnsi="Times New Roman" w:cs="Times New Roman"/>
        </w:rPr>
        <w:t xml:space="preserve"> 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>za pedagošku 2023./2024. godinu. Planira se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nabav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 xml:space="preserve">opreme – pećnice za glavnu kuhinju  u </w:t>
      </w:r>
      <w:proofErr w:type="spellStart"/>
      <w:r w:rsidR="00630229" w:rsidRPr="00DA5746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="00630229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s obzirom na neispravnost postojeć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 xml:space="preserve">e, te nabavu klima uređaja za zbornicu u </w:t>
      </w:r>
      <w:proofErr w:type="spellStart"/>
      <w:r w:rsidR="00630229" w:rsidRPr="00DA5746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="00630229" w:rsidRPr="00DA5746">
        <w:rPr>
          <w:rFonts w:ascii="Times New Roman" w:hAnsi="Times New Roman" w:cs="Times New Roman"/>
          <w:bCs/>
          <w:sz w:val="24"/>
          <w:szCs w:val="24"/>
        </w:rPr>
        <w:t xml:space="preserve"> i pomoćnu kuhinju u </w:t>
      </w:r>
      <w:proofErr w:type="spellStart"/>
      <w:r w:rsidR="00630229" w:rsidRPr="00DA5746">
        <w:rPr>
          <w:rFonts w:ascii="Times New Roman" w:hAnsi="Times New Roman" w:cs="Times New Roman"/>
          <w:bCs/>
          <w:sz w:val="24"/>
          <w:szCs w:val="24"/>
        </w:rPr>
        <w:t>Peroju</w:t>
      </w:r>
      <w:proofErr w:type="spellEnd"/>
      <w:r w:rsidR="00630229"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236" w:rsidRPr="00DA5746" w:rsidRDefault="0011423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Rashodi za nabavu nefinancijske imovine planirani iz vlastitih  prihoda u iznosu od 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5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6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54899" w:rsidRPr="00DA5746">
        <w:rPr>
          <w:rFonts w:ascii="Times New Roman" w:hAnsi="Times New Roman" w:cs="Times New Roman"/>
          <w:bCs/>
          <w:sz w:val="24"/>
          <w:szCs w:val="24"/>
        </w:rPr>
        <w:t xml:space="preserve"> rashodi  za nabavu  nefinancijske imovine iz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prihoda za posebne namjene  u iznosu od 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9.5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 odnose se na nabavu ili zamjenu dotrajale opreme sukladno godišnjem planu i programu odgojno-obrazovnog rada</w:t>
      </w:r>
      <w:r w:rsidRPr="00DA5746">
        <w:rPr>
          <w:rFonts w:ascii="Times New Roman" w:hAnsi="Times New Roman" w:cs="Times New Roman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>za pedagošku 202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3./2024</w:t>
      </w:r>
      <w:r w:rsidRPr="00DA5746">
        <w:rPr>
          <w:rFonts w:ascii="Times New Roman" w:hAnsi="Times New Roman" w:cs="Times New Roman"/>
          <w:bCs/>
          <w:sz w:val="24"/>
          <w:szCs w:val="24"/>
        </w:rPr>
        <w:t>. godinu.</w:t>
      </w:r>
    </w:p>
    <w:p w:rsidR="007D1396" w:rsidRPr="00DA5746" w:rsidRDefault="007D1396" w:rsidP="00114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Rashodi za nabavu nefinancijske imovine planirani iz pomoći u iznosu od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 xml:space="preserve"> 2.6</w:t>
      </w:r>
      <w:r w:rsidRPr="00DA5746">
        <w:rPr>
          <w:rFonts w:ascii="Times New Roman" w:hAnsi="Times New Roman" w:cs="Times New Roman"/>
          <w:bCs/>
          <w:sz w:val="24"/>
          <w:szCs w:val="24"/>
        </w:rPr>
        <w:t>00,00 eur</w:t>
      </w:r>
      <w:r w:rsidR="00630229" w:rsidRPr="00DA5746">
        <w:rPr>
          <w:rFonts w:ascii="Times New Roman" w:hAnsi="Times New Roman" w:cs="Times New Roman"/>
          <w:bCs/>
          <w:sz w:val="24"/>
          <w:szCs w:val="24"/>
        </w:rPr>
        <w:t>a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 xml:space="preserve"> odnose se na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nabavu 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 xml:space="preserve">računala i </w:t>
      </w:r>
      <w:r w:rsidRPr="00DA5746">
        <w:rPr>
          <w:rFonts w:ascii="Times New Roman" w:hAnsi="Times New Roman" w:cs="Times New Roman"/>
          <w:bCs/>
          <w:sz w:val="24"/>
          <w:szCs w:val="24"/>
        </w:rPr>
        <w:t>sportske opreme.</w:t>
      </w:r>
    </w:p>
    <w:p w:rsidR="00630229" w:rsidRPr="00DA5746" w:rsidRDefault="00630229" w:rsidP="006302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 xml:space="preserve">Rashodi za nabavu nefinancijske imovine planirani iz donacija u iznosu od 1.000,00 eura odnose se na </w:t>
      </w:r>
      <w:r w:rsidR="00E2746F" w:rsidRPr="00DA5746">
        <w:rPr>
          <w:rFonts w:ascii="Times New Roman" w:hAnsi="Times New Roman" w:cs="Times New Roman"/>
          <w:bCs/>
          <w:sz w:val="24"/>
          <w:szCs w:val="24"/>
        </w:rPr>
        <w:t>donaciju računala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7D1396" w:rsidRPr="00DA5746" w:rsidRDefault="005F6CE9" w:rsidP="007D139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U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 xml:space="preserve"> financijskom planu za 202</w:t>
      </w:r>
      <w:r w:rsidRPr="00DA5746">
        <w:rPr>
          <w:rFonts w:ascii="Times New Roman" w:hAnsi="Times New Roman" w:cs="Times New Roman"/>
          <w:bCs/>
          <w:sz w:val="24"/>
          <w:szCs w:val="24"/>
        </w:rPr>
        <w:t>4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Pr="00DA5746">
        <w:rPr>
          <w:rFonts w:ascii="Times New Roman" w:hAnsi="Times New Roman" w:cs="Times New Roman"/>
          <w:bCs/>
          <w:sz w:val="24"/>
          <w:szCs w:val="24"/>
        </w:rPr>
        <w:t>p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 xml:space="preserve">lanira se </w:t>
      </w:r>
      <w:r w:rsidR="007D1396" w:rsidRPr="00FA66D6">
        <w:rPr>
          <w:rFonts w:ascii="Times New Roman" w:hAnsi="Times New Roman" w:cs="Times New Roman"/>
          <w:bCs/>
          <w:sz w:val="24"/>
          <w:szCs w:val="24"/>
          <w:u w:val="single"/>
        </w:rPr>
        <w:t>pokriće manjka prihoda i primitaka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>iznos</w:t>
      </w:r>
      <w:r w:rsidRPr="00DA5746">
        <w:rPr>
          <w:rFonts w:ascii="Times New Roman" w:hAnsi="Times New Roman" w:cs="Times New Roman"/>
          <w:bCs/>
          <w:sz w:val="24"/>
          <w:szCs w:val="24"/>
        </w:rPr>
        <w:t>u</w:t>
      </w:r>
      <w:r w:rsidR="007D1396" w:rsidRPr="00DA5746">
        <w:rPr>
          <w:rFonts w:ascii="Times New Roman" w:hAnsi="Times New Roman" w:cs="Times New Roman"/>
          <w:bCs/>
          <w:sz w:val="24"/>
          <w:szCs w:val="24"/>
        </w:rPr>
        <w:t xml:space="preserve"> od 3.320,00 eura</w:t>
      </w:r>
      <w:r w:rsidRPr="00DA5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163AE" w:rsidRPr="00DA5746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746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FINANCIJSKOG PLANA</w:t>
      </w:r>
    </w:p>
    <w:p w:rsidR="009163AE" w:rsidRPr="00DA5746" w:rsidRDefault="009163AE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48CB" w:rsidRPr="00DA5746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SAŽETAK DJELOKRUGA RADA I OBRAZLOŽENJE PROGRAMA</w:t>
      </w:r>
    </w:p>
    <w:p w:rsidR="0003061D" w:rsidRPr="00DA5746" w:rsidRDefault="0003061D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E9" w:rsidRPr="00DA5746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Dječji vrtići Petar Pan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Scuole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dell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'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infanzia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Petar Pan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javna je ustanova koja u okviru svoje djelatnosti ranog i predškolskog odgoja ostvaruje program njege, odgoja, obrazovanja, zdravstvene zaštite, prehrane i socijalne skrbi djece od navršenih godinu dana do polaska u osnovnu školu.</w:t>
      </w:r>
    </w:p>
    <w:p w:rsidR="005F6CE9" w:rsidRPr="00DA5746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D.V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S.I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. Petar Pan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ostvaruje svoju djelatnost u matičnoj ustanovi u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Vodnjanu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S.Rocco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17 i u područnim odjeljenjima u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Galižani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, Veli Vrh 5 te u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Peroju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Peroj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218.</w:t>
      </w:r>
    </w:p>
    <w:p w:rsidR="005F6CE9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U pedagoškoj 2023./2024. godini vrtić provodi program rada predškolskog odgoja i obrazovanja kroz redovni cjelodnevni 10-satni program te redovni 6-satni program u četiri jasličke skupine, četiri vrtićke skupine s radom na hrvatskom jeziku te tri vrtićke skupine s radom na talijanskom jeziku.</w:t>
      </w:r>
    </w:p>
    <w:p w:rsidR="00146DB2" w:rsidRPr="00DA5746" w:rsidRDefault="00146DB2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533"/>
        <w:gridCol w:w="2658"/>
      </w:tblGrid>
      <w:tr w:rsidR="005F6CE9" w:rsidRPr="00DA5746" w:rsidTr="00DA5746">
        <w:trPr>
          <w:trHeight w:val="1015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E9" w:rsidRPr="00DA5746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DB2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DJEČJI VRTIĆI PETAR PAN VODNJAN – </w:t>
            </w:r>
          </w:p>
          <w:p w:rsidR="005F6CE9" w:rsidRPr="00DA5746" w:rsidRDefault="005F6CE9" w:rsidP="005F6CE9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SCUOLE DELL'INFANZIA PETAR PAN DIGNANO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OBJEKTI:</w:t>
            </w: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Matični objekt  u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Vodnjanu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San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Rocco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17</w:t>
            </w: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Objekt u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Galižani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Veli Vrh 5</w:t>
            </w: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Objekt u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Peroju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Peroj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218 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BROJ DJECE PO PROGRAMIMA</w:t>
            </w:r>
          </w:p>
        </w:tc>
      </w:tr>
      <w:tr w:rsidR="005F6CE9" w:rsidRPr="00DA5746" w:rsidTr="00DA5746">
        <w:trPr>
          <w:trHeight w:val="7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10-satni redovni vrtićki program s radom na hrvatskom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5F6CE9" w:rsidRPr="00DA5746" w:rsidTr="00DA5746">
        <w:trPr>
          <w:trHeight w:val="75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10-satni redovni vrtićki program s radom na talijanskom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</w:tr>
      <w:tr w:rsidR="005F6CE9" w:rsidRPr="00DA5746" w:rsidTr="00DA5746">
        <w:trPr>
          <w:trHeight w:val="759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10- satni jaslički program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</w:tr>
      <w:tr w:rsidR="005F6CE9" w:rsidRPr="00DA5746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6-satni redovni vrtićki program s radom na hrvatskom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F6CE9" w:rsidRPr="00DA5746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6-satni redovni vrtićki program s radom na talijanskom jeziku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F6CE9" w:rsidRPr="00DA5746" w:rsidTr="00DA5746">
        <w:trPr>
          <w:trHeight w:val="711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146DB2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skraćeni program  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predškole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djecu koja nisu obuhvaćena redovitim programom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F6CE9" w:rsidRPr="00DA5746" w:rsidTr="00DA5746">
        <w:trPr>
          <w:trHeight w:val="553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SVEUKUPNO BROJ DJECE U PROGRAMIMA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F6CE9" w:rsidRPr="00DA5746" w:rsidRDefault="005F6CE9" w:rsidP="005F6CE9">
            <w:pPr>
              <w:spacing w:after="2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74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</w:tbl>
    <w:p w:rsidR="00DA5746" w:rsidRPr="00DA5746" w:rsidRDefault="00DA5746" w:rsidP="005F6C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5F6C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CE9" w:rsidRPr="00DA5746" w:rsidRDefault="005F6CE9" w:rsidP="005F6CE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Broj djece u programima varira ovisno o ispisu/upisu tijekom pedagoške godine.</w:t>
      </w:r>
    </w:p>
    <w:p w:rsidR="005F6CE9" w:rsidRPr="00DA5746" w:rsidRDefault="005F6CE9" w:rsidP="005F6CE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O realizaciji odgojno-obrazovnog rada brine se 25 odgojiteljica na puno radno vrijeme, 1 odgojiteljica na pola radnog vremena, pedagoginja, te ravnateljica. U tijeku su natječaji za zapošljavanje psihologa i zdravstvene voditeljice. Uprava Vrtića i tajništvo smješteno je u DV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, dok je tehnički i pomoćni kadar od ukupno 16 radnika raspoređen prema potrebi po objektima. </w:t>
      </w:r>
    </w:p>
    <w:p w:rsidR="005F6CE9" w:rsidRPr="00DA5746" w:rsidRDefault="005F6CE9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746" w:rsidRPr="00DA5746" w:rsidRDefault="00DA5746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746" w:rsidRPr="00DA5746" w:rsidRDefault="00DA5746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746" w:rsidRPr="00DA5746" w:rsidRDefault="005F6CE9" w:rsidP="005F6CE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</w:pPr>
      <w:r w:rsidRPr="00DA5746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ZAKONSKE I DRUGE PODLOGE NA KOJIMA SE ZASNIVA PROGRAM:</w:t>
      </w:r>
    </w:p>
    <w:p w:rsidR="005F6CE9" w:rsidRPr="00DA5746" w:rsidRDefault="005F6CE9" w:rsidP="005F6CE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Državni pedagoški standard predškolskog odgoja i naobrazbe (NN 63/08, 90/10)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Nacionalni kurikulum za rani i predškolski odgoj i obrazovanje (NN 05/15)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Obiteljski zakon ( NN 103/15, 98/19, 47/20, 49/23)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Zakon o predškolskom odgoju  i obrazovanju (NN 10/97, 107/07, 94/13, 98/19, 57/22, 101/23)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Zakon o odgoju i obrazovanju na jeziku i pismu nacionalnih manjina (NN 51/00, 56/00)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Zakon o ustanovama (NN 76/93, 29/97, 47/99, 35/08, 127/19, 151/22)</w:t>
      </w:r>
      <w:r w:rsidRPr="00DA5746">
        <w:rPr>
          <w:rFonts w:ascii="Times New Roman" w:eastAsia="Calibri" w:hAnsi="Times New Roman" w:cs="Times New Roman"/>
          <w:color w:val="414145"/>
          <w:sz w:val="21"/>
          <w:szCs w:val="21"/>
        </w:rPr>
        <w:t xml:space="preserve"> 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posebnim uvjetima i mjerilima ostvarivanja programa predškolskog odgoja (NN 84/2021  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načinu i uvjetima polaganja stručnog ispita odgojitelja i stručnih suradnika u dječjem vrtiću (NN 133/97, 4/98)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vrsti stručne spreme stručnih djelatnika te vrsti i stupnju stručne spreme ostalih djelatnika u dječjem vrtiću (NN 133/97)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načinu i uvjetima napredovanja u struci i promicanju u položajna zvanja odgojitelja i stručnih suradnika u dječjim vrtićima (NN 133/97, 20/05)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načinu raspolaganja sredstvima državnog proračuna i mjerilima sufinanciranja programa predškolskog odgoja (NN 134/97)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lastRenderedPageBreak/>
        <w:t>Pravilnik o obrascima i sadržaju pedagoške dokumentacije i evidencije o djeci u dječjem vrtiću (NN 83/01)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Program zdravstvene zaštite djece, higijene i pravilne prehrane djece u dječjim vrtićima (NN 105/02, 55/06, 121/07)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Programsko usmjerenje odgoja i obrazovanja predškolske djece (Glasnik Ministarstva  prosvjete i kulture RH, broj 7/8 1991.)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Konvencija o pravima djeteta; Državni zavod za zaštitu obitelji, materinstva i mladeži, Zagreb, 2001.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Zakon o lokalnoj i područnoj (regionalnoj) samoupravi (NN 33/01, 60/01, 129/05, 109/07, 125/08, 36/09, 36/09, 150/11, 144/12, 19/13, 137/15, 123/17, 98/19, 144/20)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Zakon o proračunu (NN 144/21)</w:t>
      </w:r>
    </w:p>
    <w:p w:rsidR="005F6CE9" w:rsidRPr="00DA5746" w:rsidRDefault="005F6CE9" w:rsidP="005F6CE9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Pravilnik o proračunskom računovodstvu i računskom planu(124/14, 115/15, 87/16, 3/18, 126/19, 108/20 i 144/21)</w:t>
      </w:r>
    </w:p>
    <w:p w:rsidR="005F6CE9" w:rsidRPr="00DA5746" w:rsidRDefault="005F6CE9" w:rsidP="005F6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46" w:rsidRPr="00DA5746" w:rsidRDefault="00DA5746" w:rsidP="00DF36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lastRenderedPageBreak/>
        <w:t>CILJEVI, STRATEGIJA  I PROGRAMI:</w:t>
      </w:r>
    </w:p>
    <w:p w:rsidR="00DF3662" w:rsidRPr="00DA5746" w:rsidRDefault="00DF3662" w:rsidP="00DF36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DF3662" w:rsidRPr="00DA5746" w:rsidTr="00D209F4">
        <w:trPr>
          <w:trHeight w:val="98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CILJEVI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PROVEDBE 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PROGRAMA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REDOVITI PROGRAM PREDŠKOLSKOG</w:t>
            </w:r>
          </w:p>
          <w:p w:rsidR="00DF3662" w:rsidRPr="00DA5746" w:rsidRDefault="00DF3662" w:rsidP="00D20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OBRAZOVANJA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SREDSTVA ZA REALIZACIJU PROGRAMA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Potrebno je osigurati sredstva i </w:t>
            </w:r>
            <w:r w:rsidRPr="00DA57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izdatke </w:t>
            </w: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za zaposlene, te materijalne i financijske rashode za potrebe djelatnosti sukladno standardima u:</w:t>
            </w:r>
          </w:p>
          <w:p w:rsidR="00DF3662" w:rsidRPr="00DA5746" w:rsidRDefault="00DF3662" w:rsidP="00DF3662">
            <w:pPr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Redovitim programima u dječjem vrtiću (10-satni program i 6- satni program)</w:t>
            </w:r>
          </w:p>
          <w:p w:rsidR="00DF3662" w:rsidRPr="00DA5746" w:rsidRDefault="00DF3662" w:rsidP="00DF3662">
            <w:pPr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Skraćeni program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662" w:rsidRPr="00DA5746" w:rsidRDefault="00DF3662" w:rsidP="00D209F4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Unapređivati kvalitetu odgojno-obrazovnog rada kontinuiranim istraživanjem, refleksijom i samo-refleksijom, ulaganjem u </w:t>
            </w:r>
            <w:proofErr w:type="spellStart"/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cjeloživotno</w:t>
            </w:r>
            <w:proofErr w:type="spellEnd"/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obrazovanje i edukacije svih zaposlenika te osiguravanjem  svih materijalnih  uvjeta i  kvalitetne ishrane  u cilju  djetetove osobne (emocionalne i tjelesne), obrazovne i socijalne dobrobiti te njegovom cjelovitom razvoju, odgoju i učenju.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Zaposlen je dovoljan broj stručnih djelatnika. 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177"/>
            </w:tblGrid>
            <w:tr w:rsidR="00DA5746" w:rsidRPr="00DA5746" w:rsidTr="00DA5746">
              <w:trPr>
                <w:trHeight w:val="476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5746" w:rsidRPr="00DA5746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252F00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F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Plan 2024. s projekcijama</w:t>
                  </w:r>
                </w:p>
                <w:p w:rsidR="00DA5746" w:rsidRPr="00252F00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F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za 2025. i 2026.g</w:t>
                  </w:r>
                </w:p>
              </w:tc>
            </w:tr>
            <w:tr w:rsidR="00DA5746" w:rsidRPr="00DA5746" w:rsidTr="00DA5746">
              <w:trPr>
                <w:trHeight w:val="484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5746" w:rsidRPr="00DA5746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252F00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F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1.401.380,00 eura</w:t>
                  </w:r>
                </w:p>
              </w:tc>
            </w:tr>
            <w:tr w:rsidR="00DA5746" w:rsidRPr="00DA5746" w:rsidTr="00DA5746">
              <w:trPr>
                <w:trHeight w:val="417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DA5746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252F00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F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1.419.700,00 eura</w:t>
                  </w:r>
                </w:p>
              </w:tc>
            </w:tr>
            <w:tr w:rsidR="00DA5746" w:rsidRPr="00DA5746" w:rsidTr="00DA5746">
              <w:trPr>
                <w:trHeight w:val="353"/>
              </w:trPr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DA5746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5746" w:rsidRPr="00252F00" w:rsidRDefault="00DA5746" w:rsidP="00DA5746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F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1.419.700,00 eura</w:t>
                  </w:r>
                </w:p>
              </w:tc>
            </w:tr>
          </w:tbl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Sredstva za plaće zaposlenih planirana su sukladno broju zaposlenih i koeficijentima radnih mjesta.</w:t>
            </w:r>
          </w:p>
          <w:p w:rsidR="00DF3662" w:rsidRPr="00DA5746" w:rsidRDefault="00DF3662" w:rsidP="00D209F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46">
              <w:rPr>
                <w:rFonts w:ascii="Times New Roman" w:eastAsia="Calibri" w:hAnsi="Times New Roman" w:cs="Times New Roman"/>
                <w:sz w:val="24"/>
                <w:szCs w:val="24"/>
              </w:rPr>
              <w:t>Materijalni i financijski rashodi planirani su na osnovu realnih rashoda i proračuna za prethodnu godinu. Odstupanje planiranog projekcijom prethodne godine i planiranog ove godine je radi  zapošljavanja novih djelatnika (psihologa i zdravstvene voditeljice), povećanja osnovice plaće te povećanja svih materijalnih rashoda i usluga.</w:t>
            </w:r>
          </w:p>
        </w:tc>
      </w:tr>
    </w:tbl>
    <w:p w:rsidR="005F6CE9" w:rsidRPr="00DA5746" w:rsidRDefault="005F6CE9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DF3662" w:rsidRPr="00DA5746" w:rsidTr="00DF3662">
        <w:tc>
          <w:tcPr>
            <w:tcW w:w="3085" w:type="dxa"/>
          </w:tcPr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5746">
              <w:rPr>
                <w:rFonts w:eastAsia="Calibri"/>
                <w:b/>
                <w:sz w:val="24"/>
                <w:szCs w:val="24"/>
              </w:rPr>
              <w:t xml:space="preserve">SKRAĆENI PROGRAM 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5746">
              <w:rPr>
                <w:rFonts w:eastAsia="Calibri"/>
                <w:b/>
                <w:sz w:val="24"/>
                <w:szCs w:val="24"/>
              </w:rPr>
              <w:t>PREDŠKOLE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SREDSTVA ZA 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REALIZACIJU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PROGRAMA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POKAZATELJI 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USPJEŠNOSTI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ODGOVORNE 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OSOBE ZA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REALIZACIJU</w:t>
            </w:r>
          </w:p>
          <w:p w:rsidR="00DF3662" w:rsidRPr="00DA5746" w:rsidRDefault="00DF3662" w:rsidP="00DF3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PROGRAMA</w:t>
            </w:r>
          </w:p>
          <w:p w:rsidR="00DF3662" w:rsidRPr="00DA5746" w:rsidRDefault="00DF3662" w:rsidP="006511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Osnovna zadaća programa </w:t>
            </w:r>
            <w:proofErr w:type="spellStart"/>
            <w:r w:rsidRPr="00DA5746">
              <w:rPr>
                <w:rFonts w:eastAsia="Calibri"/>
                <w:sz w:val="24"/>
                <w:szCs w:val="24"/>
              </w:rPr>
              <w:t>predškole</w:t>
            </w:r>
            <w:proofErr w:type="spellEnd"/>
            <w:r w:rsidRPr="00DA5746">
              <w:rPr>
                <w:rFonts w:eastAsia="Calibri"/>
                <w:sz w:val="24"/>
                <w:szCs w:val="24"/>
              </w:rPr>
              <w:t xml:space="preserve"> je razvijanje i unaprjeđivanje tjelesnih, emocionalnih, socijalnih i spoznajnih potencijala djeteta u godini pred polazak u školu.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1.600,00  </w:t>
            </w:r>
            <w:proofErr w:type="spellStart"/>
            <w:r w:rsidRPr="00DA5746">
              <w:rPr>
                <w:rFonts w:eastAsia="Calibri"/>
                <w:sz w:val="24"/>
                <w:szCs w:val="24"/>
              </w:rPr>
              <w:t>eur</w:t>
            </w:r>
            <w:proofErr w:type="spellEnd"/>
            <w:r w:rsidRPr="00DA574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-potpuna usklađenost sa Državnim pedagoškim standardom u pogledu odnosa broja odgojitelja i broja djece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-zadovoljenje svih djetetovih potreba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 poticajno materijalno okruženje obogaćeno mnoštvom materijala, didaktike i sredstvima za rad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-stručna usavršavanja odgojitelja, stručnih suradnika, ravnatelja te djelatnika tajništva i računovodstva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-stalna kontrola ispravnosti hrane od strane Zavoda za javno zdravstvo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-veća uključenost u suradnju sa društvenom zajednicom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-razvoj partnerskih odnosa s roditeljima i obitelji djece, veća uključenost istih u odgojno – obrazovni rad  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 xml:space="preserve">-povećanje broja odlazaka posjeta različitim organizacijama 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-sanacija i kontinuirano održavanje svih objekata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- ulaganje u opremu</w:t>
            </w: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DF3662" w:rsidRPr="00DA5746" w:rsidRDefault="00DF3662" w:rsidP="00DF3662">
            <w:pPr>
              <w:spacing w:line="360" w:lineRule="auto"/>
              <w:rPr>
                <w:b/>
                <w:sz w:val="24"/>
                <w:szCs w:val="24"/>
              </w:rPr>
            </w:pPr>
            <w:r w:rsidRPr="00DA5746">
              <w:rPr>
                <w:rFonts w:eastAsia="Calibri"/>
                <w:sz w:val="24"/>
                <w:szCs w:val="24"/>
              </w:rPr>
              <w:t>Ravnateljica i stručni djelatnici</w:t>
            </w:r>
          </w:p>
        </w:tc>
      </w:tr>
    </w:tbl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746">
        <w:rPr>
          <w:rFonts w:ascii="Times New Roman" w:hAnsi="Times New Roman" w:cs="Times New Roman"/>
          <w:b/>
          <w:bCs/>
          <w:sz w:val="24"/>
          <w:szCs w:val="24"/>
        </w:rPr>
        <w:lastRenderedPageBreak/>
        <w:t>ISHODIŠTE  I POKAZATELJI  NA KOJIMA SE ZASNIVAJU IZRAČUNI I OCJENE POTREBNIH SREDSTAVA ZA PROVOĐENJE PROGRAMA</w:t>
      </w:r>
    </w:p>
    <w:p w:rsidR="00DF3662" w:rsidRPr="00DA5746" w:rsidRDefault="00DF3662" w:rsidP="00DF366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F3662" w:rsidRPr="00DA5746" w:rsidRDefault="00DF3662" w:rsidP="00DF3662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Materijalni uvjeti rada u ustanovi osiguravaju se iz sredstava proračuna Grada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Vodnjana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i participacije korisnika usluga, iz sredstava doznačenih iz Državnog proračuna koji se namjenski doznačuju za sufinanciranje troškova provođenja programa za talijansku nacionalnu manjinu, provođenje programa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,</w:t>
      </w:r>
      <w:r w:rsidRPr="00DA5746">
        <w:rPr>
          <w:rFonts w:ascii="Times New Roman" w:hAnsi="Times New Roman" w:cs="Times New Roman"/>
          <w:sz w:val="24"/>
          <w:szCs w:val="24"/>
        </w:rPr>
        <w:t xml:space="preserve"> program za djecu sa posebnim potrebama</w:t>
      </w:r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 i program za potencijalno darovitu djecu. Roditelji uplaćuju mjesečno učešće za korištenje 10-satnog programa odnosno 6-satnog programa. Roditelji nadalje ostvaruju subvencije u slučaju da su korisnici dječjeg doplatka, socijalne pomoći, za drugo dijete itd. prema socijalnom programu Grada 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Vodnjana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A5746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DA5746">
        <w:rPr>
          <w:rFonts w:ascii="Times New Roman" w:eastAsia="Calibri" w:hAnsi="Times New Roman" w:cs="Times New Roman"/>
          <w:sz w:val="24"/>
          <w:szCs w:val="24"/>
        </w:rPr>
        <w:t>. Odlukama Upravnog vijeća ustanove oslobađa se korisnika usluge plaćanja pune mjesečne cijene programa ako je dijete na bolovanju duže od 30 dana.</w:t>
      </w:r>
    </w:p>
    <w:p w:rsidR="00DF3662" w:rsidRPr="00DA5746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DA5746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DA5746">
        <w:rPr>
          <w:rFonts w:ascii="Times New Roman" w:hAnsi="Times New Roman" w:cs="Times New Roman"/>
          <w:sz w:val="24"/>
          <w:szCs w:val="24"/>
        </w:rPr>
        <w:t xml:space="preserve">U pedagoškoj 2023./2024. godini u 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D.V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S.I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 xml:space="preserve">. Petar Pan 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Dignano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 xml:space="preserve"> svi programi ostvarivati će odgojno-obrazovni rad kroz globalne sadržaje i aktivnosti, usklađene s individualnim potrebama, razvojnim mogućnostima i interesima djece, a u odnosu na dobrobiti djece. Kroz različite aktivnosti poticati će se djecu da razvijaju sljedeće kompetencije: komunikacija na materinskom jeziku, elementarnu komunikaciju na stranim jezicima, matematičke kompetencije i osnovne kompetencije u prirodoslovlju i tehnologiji, digitalne kompetencije, socijalne i građanske kompetencije, </w:t>
      </w:r>
      <w:proofErr w:type="spellStart"/>
      <w:r w:rsidRPr="00DA5746">
        <w:rPr>
          <w:rFonts w:ascii="Times New Roman" w:hAnsi="Times New Roman" w:cs="Times New Roman"/>
          <w:sz w:val="24"/>
          <w:szCs w:val="24"/>
        </w:rPr>
        <w:t>inicijativnost</w:t>
      </w:r>
      <w:proofErr w:type="spellEnd"/>
      <w:r w:rsidRPr="00DA5746">
        <w:rPr>
          <w:rFonts w:ascii="Times New Roman" w:hAnsi="Times New Roman" w:cs="Times New Roman"/>
          <w:sz w:val="24"/>
          <w:szCs w:val="24"/>
        </w:rPr>
        <w:t xml:space="preserve"> i poduzetništvo, kulturnu svijest i izražavanje te motoričke kompetencije primjerene dobi. </w:t>
      </w:r>
    </w:p>
    <w:p w:rsidR="00DF3662" w:rsidRPr="00DA5746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46">
        <w:rPr>
          <w:rFonts w:ascii="Times New Roman" w:hAnsi="Times New Roman" w:cs="Times New Roman"/>
          <w:sz w:val="24"/>
          <w:szCs w:val="24"/>
        </w:rPr>
        <w:tab/>
      </w:r>
      <w:r w:rsidRPr="00DA5746">
        <w:rPr>
          <w:rFonts w:ascii="Times New Roman" w:hAnsi="Times New Roman" w:cs="Times New Roman"/>
          <w:sz w:val="24"/>
          <w:szCs w:val="24"/>
        </w:rPr>
        <w:tab/>
        <w:t>Načela na koja je stavljen naglasak prilikom planiranja i organiziranja odgojno-obrazovnog rada su otvorenost za kontinuirano učenje i spremnost na unapređivanje prakse.</w:t>
      </w:r>
    </w:p>
    <w:p w:rsidR="00DF3662" w:rsidRPr="00DA5746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62" w:rsidRPr="00DA5746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62" w:rsidRPr="00DA5746" w:rsidRDefault="00DF3662" w:rsidP="00DF366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746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</w:t>
      </w:r>
      <w:bookmarkStart w:id="1" w:name="_Toc426215013"/>
      <w:bookmarkStart w:id="2" w:name="_Toc523122566"/>
    </w:p>
    <w:p w:rsidR="00DF3662" w:rsidRPr="00DA5746" w:rsidRDefault="00DF3662" w:rsidP="00DF36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62" w:rsidRPr="00DA5746" w:rsidRDefault="00DF3662" w:rsidP="00DF36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U odgojno-obrazovnom rad</w:t>
      </w:r>
      <w:bookmarkEnd w:id="1"/>
      <w:bookmarkEnd w:id="2"/>
      <w:r w:rsidRPr="00DA5746">
        <w:rPr>
          <w:rFonts w:ascii="Times New Roman" w:hAnsi="Times New Roman" w:cs="Times New Roman"/>
          <w:bCs/>
          <w:sz w:val="24"/>
          <w:szCs w:val="24"/>
        </w:rPr>
        <w:t>u realizirani su sljedeći ciljevi i rezultati programa:</w:t>
      </w:r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 w:rsidRPr="00DA5746">
        <w:rPr>
          <w:bCs/>
          <w:szCs w:val="24"/>
        </w:rPr>
        <w:t>oblikovanje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poticajnog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prostorno-materijalnog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socijalnog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okruženja</w:t>
      </w:r>
      <w:proofErr w:type="spellEnd"/>
      <w:r w:rsidRPr="00DA5746">
        <w:rPr>
          <w:bCs/>
          <w:szCs w:val="24"/>
        </w:rPr>
        <w:t xml:space="preserve"> u </w:t>
      </w:r>
      <w:proofErr w:type="spellStart"/>
      <w:r w:rsidRPr="00DA5746">
        <w:rPr>
          <w:bCs/>
          <w:szCs w:val="24"/>
        </w:rPr>
        <w:t>funkciji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igre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učenja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djece</w:t>
      </w:r>
      <w:proofErr w:type="spellEnd"/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 w:rsidRPr="00DA5746">
        <w:rPr>
          <w:szCs w:val="24"/>
        </w:rPr>
        <w:t>razvijanje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svijesti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djeteta</w:t>
      </w:r>
      <w:proofErr w:type="spellEnd"/>
      <w:r w:rsidRPr="00DA5746">
        <w:rPr>
          <w:szCs w:val="24"/>
        </w:rPr>
        <w:t xml:space="preserve"> o </w:t>
      </w:r>
      <w:proofErr w:type="spellStart"/>
      <w:r w:rsidRPr="00DA5746">
        <w:rPr>
          <w:szCs w:val="24"/>
        </w:rPr>
        <w:t>značaju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zdravog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načina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života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svakodnevnog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tjelesnog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vježbanja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kroz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projekt</w:t>
      </w:r>
      <w:proofErr w:type="spellEnd"/>
      <w:r w:rsidRPr="00DA5746">
        <w:rPr>
          <w:szCs w:val="24"/>
        </w:rPr>
        <w:t xml:space="preserve"> „Budi </w:t>
      </w:r>
      <w:proofErr w:type="spellStart"/>
      <w:r w:rsidRPr="00DA5746">
        <w:rPr>
          <w:szCs w:val="24"/>
        </w:rPr>
        <w:t>aktivan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budi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zdrav</w:t>
      </w:r>
      <w:proofErr w:type="spellEnd"/>
      <w:r w:rsidRPr="00DA5746">
        <w:rPr>
          <w:szCs w:val="24"/>
        </w:rPr>
        <w:t>“</w:t>
      </w:r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 w:rsidRPr="00DA5746">
        <w:rPr>
          <w:szCs w:val="24"/>
        </w:rPr>
        <w:lastRenderedPageBreak/>
        <w:t>razvijanje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kompetencija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iz</w:t>
      </w:r>
      <w:proofErr w:type="spellEnd"/>
      <w:r w:rsidRPr="00DA5746">
        <w:rPr>
          <w:szCs w:val="24"/>
        </w:rPr>
        <w:t xml:space="preserve"> STE(a)M </w:t>
      </w:r>
      <w:proofErr w:type="spellStart"/>
      <w:r w:rsidRPr="00DA5746">
        <w:rPr>
          <w:szCs w:val="24"/>
        </w:rPr>
        <w:t>područja</w:t>
      </w:r>
      <w:proofErr w:type="spellEnd"/>
      <w:r w:rsidRPr="00DA5746">
        <w:rPr>
          <w:szCs w:val="24"/>
        </w:rPr>
        <w:t xml:space="preserve">, </w:t>
      </w:r>
      <w:proofErr w:type="spellStart"/>
      <w:r w:rsidRPr="00DA5746">
        <w:rPr>
          <w:szCs w:val="24"/>
        </w:rPr>
        <w:t>upoznavanje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sa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znanstvenim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fenomenima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kao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preduvjet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kasnije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razumijevanje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znanstvenih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koncepata</w:t>
      </w:r>
      <w:proofErr w:type="spellEnd"/>
      <w:r w:rsidRPr="00DA5746">
        <w:rPr>
          <w:szCs w:val="24"/>
        </w:rPr>
        <w:t xml:space="preserve"> </w:t>
      </w:r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 w:rsidRPr="00DA5746">
        <w:rPr>
          <w:bCs/>
          <w:szCs w:val="24"/>
        </w:rPr>
        <w:t>poticanje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konzumiranja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pravilne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prehrane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osobne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higijene</w:t>
      </w:r>
      <w:proofErr w:type="spellEnd"/>
      <w:r w:rsidRPr="00DA5746">
        <w:rPr>
          <w:bCs/>
          <w:szCs w:val="24"/>
        </w:rPr>
        <w:t xml:space="preserve"> u </w:t>
      </w:r>
      <w:proofErr w:type="spellStart"/>
      <w:r w:rsidRPr="00DA5746">
        <w:rPr>
          <w:bCs/>
          <w:szCs w:val="24"/>
        </w:rPr>
        <w:t>svrhu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cjelovitog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zdravlja</w:t>
      </w:r>
      <w:proofErr w:type="spellEnd"/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 w:rsidRPr="00DA5746">
        <w:rPr>
          <w:szCs w:val="24"/>
        </w:rPr>
        <w:t>poticanje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cjelovitog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razvoja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djeteta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uz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uvažavanje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svih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individualnih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posebnosti</w:t>
      </w:r>
      <w:proofErr w:type="spellEnd"/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</w:rPr>
      </w:pPr>
      <w:proofErr w:type="spellStart"/>
      <w:r w:rsidRPr="00DA5746">
        <w:rPr>
          <w:szCs w:val="24"/>
        </w:rPr>
        <w:t>razvijanje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ekološke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svijesti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aktivnog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odnosa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djece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odraslih</w:t>
      </w:r>
      <w:proofErr w:type="spellEnd"/>
      <w:r w:rsidRPr="00DA5746">
        <w:rPr>
          <w:szCs w:val="24"/>
        </w:rPr>
        <w:t xml:space="preserve"> u </w:t>
      </w:r>
      <w:proofErr w:type="spellStart"/>
      <w:r w:rsidRPr="00DA5746">
        <w:rPr>
          <w:szCs w:val="24"/>
        </w:rPr>
        <w:t>neposrednom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prirodnom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društvenom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okruženju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kroz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projekte</w:t>
      </w:r>
      <w:proofErr w:type="spellEnd"/>
      <w:r w:rsidRPr="00DA5746">
        <w:rPr>
          <w:szCs w:val="24"/>
        </w:rPr>
        <w:t xml:space="preserve"> „</w:t>
      </w:r>
      <w:proofErr w:type="spellStart"/>
      <w:r w:rsidRPr="00DA5746">
        <w:rPr>
          <w:szCs w:val="24"/>
        </w:rPr>
        <w:t>Odgoj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za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održivi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razvoj</w:t>
      </w:r>
      <w:proofErr w:type="spellEnd"/>
      <w:r w:rsidRPr="00DA5746">
        <w:rPr>
          <w:szCs w:val="24"/>
        </w:rPr>
        <w:t xml:space="preserve">“ </w:t>
      </w:r>
      <w:proofErr w:type="spellStart"/>
      <w:r w:rsidRPr="00DA5746">
        <w:rPr>
          <w:szCs w:val="24"/>
        </w:rPr>
        <w:t>te</w:t>
      </w:r>
      <w:proofErr w:type="spellEnd"/>
      <w:r w:rsidRPr="00DA5746">
        <w:rPr>
          <w:szCs w:val="24"/>
        </w:rPr>
        <w:t xml:space="preserve"> „</w:t>
      </w:r>
      <w:proofErr w:type="spellStart"/>
      <w:r w:rsidRPr="00DA5746">
        <w:rPr>
          <w:szCs w:val="24"/>
        </w:rPr>
        <w:t>Igrajmo</w:t>
      </w:r>
      <w:proofErr w:type="spellEnd"/>
      <w:r w:rsidRPr="00DA5746">
        <w:rPr>
          <w:szCs w:val="24"/>
        </w:rPr>
        <w:t xml:space="preserve"> se </w:t>
      </w:r>
      <w:proofErr w:type="spellStart"/>
      <w:r w:rsidRPr="00DA5746">
        <w:rPr>
          <w:szCs w:val="24"/>
        </w:rPr>
        <w:t>i</w:t>
      </w:r>
      <w:proofErr w:type="spellEnd"/>
      <w:r w:rsidRPr="00DA5746">
        <w:rPr>
          <w:szCs w:val="24"/>
        </w:rPr>
        <w:t xml:space="preserve"> </w:t>
      </w:r>
      <w:proofErr w:type="spellStart"/>
      <w:r w:rsidRPr="00DA5746">
        <w:rPr>
          <w:szCs w:val="24"/>
        </w:rPr>
        <w:t>učimo</w:t>
      </w:r>
      <w:proofErr w:type="spellEnd"/>
      <w:r w:rsidRPr="00DA5746">
        <w:rPr>
          <w:szCs w:val="24"/>
        </w:rPr>
        <w:t xml:space="preserve"> u </w:t>
      </w:r>
      <w:proofErr w:type="spellStart"/>
      <w:r w:rsidRPr="00DA5746">
        <w:rPr>
          <w:szCs w:val="24"/>
        </w:rPr>
        <w:t>prirodi</w:t>
      </w:r>
      <w:proofErr w:type="spellEnd"/>
      <w:r w:rsidRPr="00DA5746">
        <w:rPr>
          <w:szCs w:val="24"/>
        </w:rPr>
        <w:t>“</w:t>
      </w:r>
    </w:p>
    <w:p w:rsidR="00DF3662" w:rsidRPr="00DA5746" w:rsidRDefault="00DF3662" w:rsidP="00DF3662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</w:rPr>
      </w:pPr>
      <w:proofErr w:type="spellStart"/>
      <w:r w:rsidRPr="00DA5746">
        <w:rPr>
          <w:bCs/>
          <w:szCs w:val="24"/>
        </w:rPr>
        <w:t>razvijanje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komunikacije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suradnje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među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skupinama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i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svih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sudionika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odgojno-obrazovnog</w:t>
      </w:r>
      <w:proofErr w:type="spellEnd"/>
      <w:r w:rsidRPr="00DA5746">
        <w:rPr>
          <w:bCs/>
          <w:szCs w:val="24"/>
        </w:rPr>
        <w:t xml:space="preserve"> </w:t>
      </w:r>
      <w:proofErr w:type="spellStart"/>
      <w:r w:rsidRPr="00DA5746">
        <w:rPr>
          <w:bCs/>
          <w:szCs w:val="24"/>
        </w:rPr>
        <w:t>procesa</w:t>
      </w:r>
      <w:proofErr w:type="spellEnd"/>
      <w:r w:rsidRPr="00DA5746">
        <w:rPr>
          <w:bCs/>
          <w:szCs w:val="24"/>
        </w:rPr>
        <w:t xml:space="preserve"> </w:t>
      </w:r>
    </w:p>
    <w:p w:rsidR="00DF3662" w:rsidRPr="00DA5746" w:rsidRDefault="00DF3662" w:rsidP="00DF366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662" w:rsidRPr="00DA5746" w:rsidRDefault="00DF3662" w:rsidP="00DF366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662" w:rsidRPr="00DA5746" w:rsidRDefault="00DF3662" w:rsidP="00DF366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746">
        <w:rPr>
          <w:rFonts w:ascii="Times New Roman" w:hAnsi="Times New Roman" w:cs="Times New Roman"/>
          <w:bCs/>
          <w:sz w:val="24"/>
          <w:szCs w:val="24"/>
        </w:rPr>
        <w:t>Predloženim financijskim planom za razdoblje 202</w:t>
      </w:r>
      <w:r w:rsidR="00146DB2">
        <w:rPr>
          <w:rFonts w:ascii="Times New Roman" w:hAnsi="Times New Roman" w:cs="Times New Roman"/>
          <w:bCs/>
          <w:sz w:val="24"/>
          <w:szCs w:val="24"/>
        </w:rPr>
        <w:t>4.-2026</w:t>
      </w:r>
      <w:r w:rsidRPr="00DA5746">
        <w:rPr>
          <w:rFonts w:ascii="Times New Roman" w:hAnsi="Times New Roman" w:cs="Times New Roman"/>
          <w:bCs/>
          <w:sz w:val="24"/>
          <w:szCs w:val="24"/>
        </w:rPr>
        <w:t xml:space="preserve">. nastojati ćemo osigurati najkvalitetniju uslugu ranog i predškolskog odgoja i obrazovanja našim korisnicima. Odgojno-obrazovni rad u narednoj pedagoškoj godini nastaviti ćemo temeljiti na uspješnim aktivnostima koje  se odnose  na razvoj  kompetencija iz STE(a)M područja , na odgoju za održivi razvoj te na poticanju kretanja i vježbanja te svijesti o očuvanju zdravlja. Svakodnevne  izazove rješavati ćemo kvalitetnom timskom suradnjom na nivou Ustanove i zajedno sa Osnivačem vrtića Gradom 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Vodnjanom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A5746">
        <w:rPr>
          <w:rFonts w:ascii="Times New Roman" w:hAnsi="Times New Roman" w:cs="Times New Roman"/>
          <w:bCs/>
          <w:sz w:val="24"/>
          <w:szCs w:val="24"/>
        </w:rPr>
        <w:t>Dignano</w:t>
      </w:r>
      <w:proofErr w:type="spellEnd"/>
      <w:r w:rsidRPr="00DA5746">
        <w:rPr>
          <w:rFonts w:ascii="Times New Roman" w:hAnsi="Times New Roman" w:cs="Times New Roman"/>
          <w:bCs/>
          <w:sz w:val="24"/>
          <w:szCs w:val="24"/>
        </w:rPr>
        <w:t>. Samo zajedničkim radom, angažmanom i trudom svih dionika involviranih u proces egzistiranja dječjeg vrtića možemo ostvariti napredak za pojedinca, obitelj, zajednicu, svijet.</w:t>
      </w:r>
    </w:p>
    <w:p w:rsidR="00DF3662" w:rsidRPr="00DA5746" w:rsidRDefault="00DF3662" w:rsidP="00DF3662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 xml:space="preserve">Ravnateljica : </w:t>
      </w:r>
    </w:p>
    <w:p w:rsidR="00DF3662" w:rsidRPr="00DA5746" w:rsidRDefault="00DF3662" w:rsidP="00DF366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46">
        <w:rPr>
          <w:rFonts w:ascii="Times New Roman" w:eastAsia="Calibri" w:hAnsi="Times New Roman" w:cs="Times New Roman"/>
          <w:sz w:val="24"/>
          <w:szCs w:val="24"/>
        </w:rPr>
        <w:t>Ingrid Mirković, mag.praesc.educ.</w:t>
      </w:r>
    </w:p>
    <w:p w:rsidR="00DF3662" w:rsidRPr="00DA5746" w:rsidRDefault="00DF3662" w:rsidP="00DF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662" w:rsidRPr="00DA5746" w:rsidRDefault="00DF3662" w:rsidP="00DF3662">
      <w:pPr>
        <w:rPr>
          <w:rFonts w:ascii="Times New Roman" w:hAnsi="Times New Roman" w:cs="Times New Roman"/>
        </w:rPr>
      </w:pPr>
    </w:p>
    <w:p w:rsidR="00DF3662" w:rsidRPr="00DA5746" w:rsidRDefault="00DF3662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662" w:rsidRPr="00DA5746" w:rsidSect="00EB14E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CB" w:rsidRDefault="00CC5DCB" w:rsidP="00EB14ED">
      <w:r>
        <w:separator/>
      </w:r>
    </w:p>
  </w:endnote>
  <w:endnote w:type="continuationSeparator" w:id="0">
    <w:p w:rsidR="00CC5DCB" w:rsidRDefault="00CC5DCB" w:rsidP="00E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8559"/>
      <w:docPartObj>
        <w:docPartGallery w:val="Page Numbers (Bottom of Page)"/>
        <w:docPartUnique/>
      </w:docPartObj>
    </w:sdtPr>
    <w:sdtEndPr/>
    <w:sdtContent>
      <w:p w:rsidR="00EB14ED" w:rsidRDefault="00EB14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B4">
          <w:rPr>
            <w:noProof/>
          </w:rPr>
          <w:t>3</w:t>
        </w:r>
        <w:r>
          <w:fldChar w:fldCharType="end"/>
        </w:r>
      </w:p>
    </w:sdtContent>
  </w:sdt>
  <w:p w:rsidR="00EB14ED" w:rsidRDefault="00EB14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CB" w:rsidRDefault="00CC5DCB" w:rsidP="00EB14ED">
      <w:r>
        <w:separator/>
      </w:r>
    </w:p>
  </w:footnote>
  <w:footnote w:type="continuationSeparator" w:id="0">
    <w:p w:rsidR="00CC5DCB" w:rsidRDefault="00CC5DCB" w:rsidP="00EB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8"/>
    <w:multiLevelType w:val="multilevel"/>
    <w:tmpl w:val="49A0D8FE"/>
    <w:lvl w:ilvl="0">
      <w:numFmt w:val="bullet"/>
      <w:lvlText w:val="-"/>
      <w:lvlJc w:val="left"/>
      <w:pPr>
        <w:ind w:left="1070" w:hanging="360"/>
      </w:pPr>
      <w:rPr>
        <w:rFonts w:ascii="Calibri" w:eastAsiaTheme="minorHAnsi" w:hAnsi="Calibri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7D7E40"/>
    <w:multiLevelType w:val="hybridMultilevel"/>
    <w:tmpl w:val="2A4AE11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344DED"/>
    <w:multiLevelType w:val="hybridMultilevel"/>
    <w:tmpl w:val="64FA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0EA"/>
    <w:multiLevelType w:val="hybridMultilevel"/>
    <w:tmpl w:val="2910B8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5FE0"/>
    <w:multiLevelType w:val="hybridMultilevel"/>
    <w:tmpl w:val="BF68A5DA"/>
    <w:lvl w:ilvl="0" w:tplc="3FDC56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0DDE2E86"/>
    <w:multiLevelType w:val="multilevel"/>
    <w:tmpl w:val="BC5C868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FD6BD6"/>
    <w:multiLevelType w:val="multilevel"/>
    <w:tmpl w:val="776C0BF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2C04D7"/>
    <w:multiLevelType w:val="hybridMultilevel"/>
    <w:tmpl w:val="D29EB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108A6"/>
    <w:multiLevelType w:val="multilevel"/>
    <w:tmpl w:val="F3801E6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7B110C"/>
    <w:multiLevelType w:val="hybridMultilevel"/>
    <w:tmpl w:val="6DBC5DC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E3F26"/>
    <w:multiLevelType w:val="hybridMultilevel"/>
    <w:tmpl w:val="95486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573"/>
    <w:multiLevelType w:val="hybridMultilevel"/>
    <w:tmpl w:val="35404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E2E"/>
    <w:multiLevelType w:val="hybridMultilevel"/>
    <w:tmpl w:val="88F45AFA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A30697"/>
    <w:multiLevelType w:val="hybridMultilevel"/>
    <w:tmpl w:val="E1D0829C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B22"/>
    <w:multiLevelType w:val="hybridMultilevel"/>
    <w:tmpl w:val="459CEE22"/>
    <w:lvl w:ilvl="0" w:tplc="73B8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C52"/>
    <w:multiLevelType w:val="hybridMultilevel"/>
    <w:tmpl w:val="E2542E0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5B40"/>
    <w:multiLevelType w:val="hybridMultilevel"/>
    <w:tmpl w:val="C0AE44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03E69"/>
    <w:multiLevelType w:val="hybridMultilevel"/>
    <w:tmpl w:val="7C90420A"/>
    <w:lvl w:ilvl="0" w:tplc="83A613B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DE4C9D"/>
    <w:multiLevelType w:val="hybridMultilevel"/>
    <w:tmpl w:val="F2EE1C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673907"/>
    <w:multiLevelType w:val="multilevel"/>
    <w:tmpl w:val="17DCA5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1967F2"/>
    <w:multiLevelType w:val="hybridMultilevel"/>
    <w:tmpl w:val="DEDE8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334D"/>
    <w:multiLevelType w:val="hybridMultilevel"/>
    <w:tmpl w:val="B96E3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4E39"/>
    <w:multiLevelType w:val="multilevel"/>
    <w:tmpl w:val="D4181D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C36D3E"/>
    <w:multiLevelType w:val="hybridMultilevel"/>
    <w:tmpl w:val="642A2054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E0C7266"/>
    <w:multiLevelType w:val="multilevel"/>
    <w:tmpl w:val="173A5C9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20431"/>
    <w:multiLevelType w:val="hybridMultilevel"/>
    <w:tmpl w:val="E6643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A1269"/>
    <w:multiLevelType w:val="multilevel"/>
    <w:tmpl w:val="05FC0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986260"/>
    <w:multiLevelType w:val="hybridMultilevel"/>
    <w:tmpl w:val="7054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37E0D"/>
    <w:multiLevelType w:val="multilevel"/>
    <w:tmpl w:val="9E2ECA0E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eastAsia="Times New Roman" w:hint="default"/>
      </w:rPr>
    </w:lvl>
  </w:abstractNum>
  <w:abstractNum w:abstractNumId="34">
    <w:nsid w:val="62024367"/>
    <w:multiLevelType w:val="hybridMultilevel"/>
    <w:tmpl w:val="DF02EA64"/>
    <w:lvl w:ilvl="0" w:tplc="D4F2F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51EC"/>
    <w:multiLevelType w:val="hybridMultilevel"/>
    <w:tmpl w:val="E940D05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D28EA"/>
    <w:multiLevelType w:val="multilevel"/>
    <w:tmpl w:val="820C6D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87D40C3"/>
    <w:multiLevelType w:val="hybridMultilevel"/>
    <w:tmpl w:val="BA12DD60"/>
    <w:lvl w:ilvl="0" w:tplc="409E3F36">
      <w:numFmt w:val="bullet"/>
      <w:lvlText w:val="-"/>
      <w:lvlJc w:val="left"/>
      <w:pPr>
        <w:ind w:left="36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125B49"/>
    <w:multiLevelType w:val="hybridMultilevel"/>
    <w:tmpl w:val="293642FC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43">
    <w:nsid w:val="7EB4118E"/>
    <w:multiLevelType w:val="hybridMultilevel"/>
    <w:tmpl w:val="3F1EE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8"/>
  </w:num>
  <w:num w:numId="4">
    <w:abstractNumId w:val="35"/>
  </w:num>
  <w:num w:numId="5">
    <w:abstractNumId w:val="22"/>
  </w:num>
  <w:num w:numId="6">
    <w:abstractNumId w:val="32"/>
  </w:num>
  <w:num w:numId="7">
    <w:abstractNumId w:val="29"/>
  </w:num>
  <w:num w:numId="8">
    <w:abstractNumId w:val="42"/>
  </w:num>
  <w:num w:numId="9">
    <w:abstractNumId w:val="36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37"/>
  </w:num>
  <w:num w:numId="15">
    <w:abstractNumId w:val="41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21"/>
  </w:num>
  <w:num w:numId="21">
    <w:abstractNumId w:val="40"/>
  </w:num>
  <w:num w:numId="22">
    <w:abstractNumId w:val="26"/>
  </w:num>
  <w:num w:numId="23">
    <w:abstractNumId w:val="5"/>
  </w:num>
  <w:num w:numId="24">
    <w:abstractNumId w:val="8"/>
  </w:num>
  <w:num w:numId="25">
    <w:abstractNumId w:val="20"/>
  </w:num>
  <w:num w:numId="26">
    <w:abstractNumId w:val="39"/>
  </w:num>
  <w:num w:numId="27">
    <w:abstractNumId w:val="31"/>
  </w:num>
  <w:num w:numId="28">
    <w:abstractNumId w:val="6"/>
  </w:num>
  <w:num w:numId="29">
    <w:abstractNumId w:val="43"/>
  </w:num>
  <w:num w:numId="30">
    <w:abstractNumId w:val="2"/>
  </w:num>
  <w:num w:numId="31">
    <w:abstractNumId w:val="30"/>
  </w:num>
  <w:num w:numId="32">
    <w:abstractNumId w:val="24"/>
  </w:num>
  <w:num w:numId="33">
    <w:abstractNumId w:val="23"/>
  </w:num>
  <w:num w:numId="34">
    <w:abstractNumId w:val="10"/>
  </w:num>
  <w:num w:numId="35">
    <w:abstractNumId w:val="33"/>
  </w:num>
  <w:num w:numId="36">
    <w:abstractNumId w:val="7"/>
  </w:num>
  <w:num w:numId="37">
    <w:abstractNumId w:val="17"/>
  </w:num>
  <w:num w:numId="38">
    <w:abstractNumId w:val="3"/>
  </w:num>
  <w:num w:numId="39">
    <w:abstractNumId w:val="27"/>
  </w:num>
  <w:num w:numId="40">
    <w:abstractNumId w:val="19"/>
  </w:num>
  <w:num w:numId="41">
    <w:abstractNumId w:val="0"/>
  </w:num>
  <w:num w:numId="42">
    <w:abstractNumId w:val="4"/>
  </w:num>
  <w:num w:numId="43">
    <w:abstractNumId w:val="2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D8"/>
    <w:rsid w:val="00006AE2"/>
    <w:rsid w:val="0002440F"/>
    <w:rsid w:val="0003061D"/>
    <w:rsid w:val="000423FB"/>
    <w:rsid w:val="00046850"/>
    <w:rsid w:val="00051A5C"/>
    <w:rsid w:val="00075492"/>
    <w:rsid w:val="000A1F6E"/>
    <w:rsid w:val="000B1DBB"/>
    <w:rsid w:val="000B5EC5"/>
    <w:rsid w:val="000E3D38"/>
    <w:rsid w:val="000F033F"/>
    <w:rsid w:val="0010165C"/>
    <w:rsid w:val="0010275A"/>
    <w:rsid w:val="00111315"/>
    <w:rsid w:val="00114236"/>
    <w:rsid w:val="0011459C"/>
    <w:rsid w:val="001148CB"/>
    <w:rsid w:val="00115F55"/>
    <w:rsid w:val="00130D70"/>
    <w:rsid w:val="00142800"/>
    <w:rsid w:val="00146DB2"/>
    <w:rsid w:val="00167E08"/>
    <w:rsid w:val="00181759"/>
    <w:rsid w:val="00183C8B"/>
    <w:rsid w:val="001840ED"/>
    <w:rsid w:val="00193761"/>
    <w:rsid w:val="001947F5"/>
    <w:rsid w:val="00196FB1"/>
    <w:rsid w:val="001A306D"/>
    <w:rsid w:val="001B6923"/>
    <w:rsid w:val="001C0CC4"/>
    <w:rsid w:val="001D4669"/>
    <w:rsid w:val="00203DC1"/>
    <w:rsid w:val="00215856"/>
    <w:rsid w:val="002215D3"/>
    <w:rsid w:val="00221A19"/>
    <w:rsid w:val="00224C3E"/>
    <w:rsid w:val="00234994"/>
    <w:rsid w:val="00241FED"/>
    <w:rsid w:val="0025090D"/>
    <w:rsid w:val="00252F00"/>
    <w:rsid w:val="00257F6E"/>
    <w:rsid w:val="00263E43"/>
    <w:rsid w:val="002727C3"/>
    <w:rsid w:val="0028658C"/>
    <w:rsid w:val="00287BA5"/>
    <w:rsid w:val="002A1EA4"/>
    <w:rsid w:val="002B04B5"/>
    <w:rsid w:val="002B703C"/>
    <w:rsid w:val="002C3E11"/>
    <w:rsid w:val="002E100D"/>
    <w:rsid w:val="002E5499"/>
    <w:rsid w:val="002F0343"/>
    <w:rsid w:val="002F548A"/>
    <w:rsid w:val="00301D03"/>
    <w:rsid w:val="00306489"/>
    <w:rsid w:val="00310CFF"/>
    <w:rsid w:val="00316029"/>
    <w:rsid w:val="00325078"/>
    <w:rsid w:val="00351236"/>
    <w:rsid w:val="00354285"/>
    <w:rsid w:val="0036636D"/>
    <w:rsid w:val="00373304"/>
    <w:rsid w:val="00376232"/>
    <w:rsid w:val="00377ED6"/>
    <w:rsid w:val="00381075"/>
    <w:rsid w:val="00382A7E"/>
    <w:rsid w:val="003843BF"/>
    <w:rsid w:val="003A1F3F"/>
    <w:rsid w:val="003B40E4"/>
    <w:rsid w:val="003D6E47"/>
    <w:rsid w:val="003E6575"/>
    <w:rsid w:val="003F3B0A"/>
    <w:rsid w:val="003F55BD"/>
    <w:rsid w:val="00400AD8"/>
    <w:rsid w:val="00412BA6"/>
    <w:rsid w:val="004156AA"/>
    <w:rsid w:val="004218A7"/>
    <w:rsid w:val="00425941"/>
    <w:rsid w:val="00437164"/>
    <w:rsid w:val="0044220F"/>
    <w:rsid w:val="004425B2"/>
    <w:rsid w:val="00445CF1"/>
    <w:rsid w:val="004474D8"/>
    <w:rsid w:val="00455985"/>
    <w:rsid w:val="00470049"/>
    <w:rsid w:val="004855C7"/>
    <w:rsid w:val="00492A96"/>
    <w:rsid w:val="004964F7"/>
    <w:rsid w:val="004A4A43"/>
    <w:rsid w:val="004A734E"/>
    <w:rsid w:val="004B1582"/>
    <w:rsid w:val="004C6097"/>
    <w:rsid w:val="004D02D2"/>
    <w:rsid w:val="004D0928"/>
    <w:rsid w:val="004D21F0"/>
    <w:rsid w:val="004D4FC2"/>
    <w:rsid w:val="004E10C2"/>
    <w:rsid w:val="004F27CF"/>
    <w:rsid w:val="004F58A9"/>
    <w:rsid w:val="00534092"/>
    <w:rsid w:val="0054022C"/>
    <w:rsid w:val="005D3F99"/>
    <w:rsid w:val="005E261B"/>
    <w:rsid w:val="005F6CE9"/>
    <w:rsid w:val="00630229"/>
    <w:rsid w:val="006511A6"/>
    <w:rsid w:val="006511FF"/>
    <w:rsid w:val="00655E5C"/>
    <w:rsid w:val="00656EB0"/>
    <w:rsid w:val="006611BA"/>
    <w:rsid w:val="00662954"/>
    <w:rsid w:val="00684D86"/>
    <w:rsid w:val="00685BD5"/>
    <w:rsid w:val="006B20C4"/>
    <w:rsid w:val="006C696F"/>
    <w:rsid w:val="006C7727"/>
    <w:rsid w:val="006E7D40"/>
    <w:rsid w:val="006F2D47"/>
    <w:rsid w:val="006F7B26"/>
    <w:rsid w:val="0070169F"/>
    <w:rsid w:val="00705D4B"/>
    <w:rsid w:val="00731477"/>
    <w:rsid w:val="00731F83"/>
    <w:rsid w:val="00735F70"/>
    <w:rsid w:val="0074738A"/>
    <w:rsid w:val="0077668B"/>
    <w:rsid w:val="007774DA"/>
    <w:rsid w:val="00786B04"/>
    <w:rsid w:val="007A7E1C"/>
    <w:rsid w:val="007C2A87"/>
    <w:rsid w:val="007D1396"/>
    <w:rsid w:val="007D2034"/>
    <w:rsid w:val="007F2272"/>
    <w:rsid w:val="007F3431"/>
    <w:rsid w:val="007F3B19"/>
    <w:rsid w:val="007F7E75"/>
    <w:rsid w:val="008059B0"/>
    <w:rsid w:val="00810BBF"/>
    <w:rsid w:val="00811086"/>
    <w:rsid w:val="0083470E"/>
    <w:rsid w:val="00835FE1"/>
    <w:rsid w:val="00840CC1"/>
    <w:rsid w:val="00844B25"/>
    <w:rsid w:val="00861A00"/>
    <w:rsid w:val="00865FF9"/>
    <w:rsid w:val="008666ED"/>
    <w:rsid w:val="00874D1F"/>
    <w:rsid w:val="00880CA3"/>
    <w:rsid w:val="0088233D"/>
    <w:rsid w:val="00886923"/>
    <w:rsid w:val="0089174A"/>
    <w:rsid w:val="008C0CEB"/>
    <w:rsid w:val="008C7FB7"/>
    <w:rsid w:val="008D2502"/>
    <w:rsid w:val="008F0254"/>
    <w:rsid w:val="008F0974"/>
    <w:rsid w:val="008F59D6"/>
    <w:rsid w:val="008F70D6"/>
    <w:rsid w:val="00906AB6"/>
    <w:rsid w:val="009163AE"/>
    <w:rsid w:val="00922067"/>
    <w:rsid w:val="00922490"/>
    <w:rsid w:val="00922D2D"/>
    <w:rsid w:val="0094691B"/>
    <w:rsid w:val="00962052"/>
    <w:rsid w:val="00967705"/>
    <w:rsid w:val="0098186E"/>
    <w:rsid w:val="009A0545"/>
    <w:rsid w:val="009A6B25"/>
    <w:rsid w:val="009B1316"/>
    <w:rsid w:val="009C0664"/>
    <w:rsid w:val="009C6B9C"/>
    <w:rsid w:val="009D5386"/>
    <w:rsid w:val="009D77AF"/>
    <w:rsid w:val="009D7A0F"/>
    <w:rsid w:val="009E280A"/>
    <w:rsid w:val="009E4FCB"/>
    <w:rsid w:val="009F3A93"/>
    <w:rsid w:val="00A24A33"/>
    <w:rsid w:val="00A42CD2"/>
    <w:rsid w:val="00A47654"/>
    <w:rsid w:val="00A64107"/>
    <w:rsid w:val="00A730C9"/>
    <w:rsid w:val="00AC0719"/>
    <w:rsid w:val="00AE1664"/>
    <w:rsid w:val="00AE1E0C"/>
    <w:rsid w:val="00AE3FB4"/>
    <w:rsid w:val="00AE636A"/>
    <w:rsid w:val="00B26F4A"/>
    <w:rsid w:val="00B34A2B"/>
    <w:rsid w:val="00B37AD2"/>
    <w:rsid w:val="00B400F2"/>
    <w:rsid w:val="00B41FF1"/>
    <w:rsid w:val="00B63DD3"/>
    <w:rsid w:val="00B73F6C"/>
    <w:rsid w:val="00B74454"/>
    <w:rsid w:val="00B841AC"/>
    <w:rsid w:val="00BA16F4"/>
    <w:rsid w:val="00BA3FAD"/>
    <w:rsid w:val="00BB044F"/>
    <w:rsid w:val="00BB7751"/>
    <w:rsid w:val="00BC415B"/>
    <w:rsid w:val="00BC55A6"/>
    <w:rsid w:val="00BD2CE0"/>
    <w:rsid w:val="00BE4AE8"/>
    <w:rsid w:val="00BF65BF"/>
    <w:rsid w:val="00C05B95"/>
    <w:rsid w:val="00C22287"/>
    <w:rsid w:val="00C24822"/>
    <w:rsid w:val="00C4495D"/>
    <w:rsid w:val="00C45013"/>
    <w:rsid w:val="00C54899"/>
    <w:rsid w:val="00C5519B"/>
    <w:rsid w:val="00C67C87"/>
    <w:rsid w:val="00C76434"/>
    <w:rsid w:val="00C817EB"/>
    <w:rsid w:val="00C85E72"/>
    <w:rsid w:val="00C91540"/>
    <w:rsid w:val="00C94D01"/>
    <w:rsid w:val="00CB39F5"/>
    <w:rsid w:val="00CC5DCB"/>
    <w:rsid w:val="00CD1AF5"/>
    <w:rsid w:val="00CD624E"/>
    <w:rsid w:val="00CE54E9"/>
    <w:rsid w:val="00D02E30"/>
    <w:rsid w:val="00D06F8B"/>
    <w:rsid w:val="00D15EB9"/>
    <w:rsid w:val="00D16084"/>
    <w:rsid w:val="00D32C15"/>
    <w:rsid w:val="00D4101A"/>
    <w:rsid w:val="00D41415"/>
    <w:rsid w:val="00D471D2"/>
    <w:rsid w:val="00D4733A"/>
    <w:rsid w:val="00D500C4"/>
    <w:rsid w:val="00D529F3"/>
    <w:rsid w:val="00D5648A"/>
    <w:rsid w:val="00D63D39"/>
    <w:rsid w:val="00D66006"/>
    <w:rsid w:val="00D67BA8"/>
    <w:rsid w:val="00DA5746"/>
    <w:rsid w:val="00DB21D2"/>
    <w:rsid w:val="00DC2C20"/>
    <w:rsid w:val="00DF3662"/>
    <w:rsid w:val="00DF7B40"/>
    <w:rsid w:val="00E20BF0"/>
    <w:rsid w:val="00E2594F"/>
    <w:rsid w:val="00E26514"/>
    <w:rsid w:val="00E2746F"/>
    <w:rsid w:val="00E31DAB"/>
    <w:rsid w:val="00E34130"/>
    <w:rsid w:val="00E35FA3"/>
    <w:rsid w:val="00E47283"/>
    <w:rsid w:val="00E5561C"/>
    <w:rsid w:val="00E60212"/>
    <w:rsid w:val="00E77530"/>
    <w:rsid w:val="00E81989"/>
    <w:rsid w:val="00E85675"/>
    <w:rsid w:val="00EA4AEA"/>
    <w:rsid w:val="00EB1463"/>
    <w:rsid w:val="00EB14ED"/>
    <w:rsid w:val="00ED288B"/>
    <w:rsid w:val="00EE657B"/>
    <w:rsid w:val="00EE7CD8"/>
    <w:rsid w:val="00F03344"/>
    <w:rsid w:val="00F14B48"/>
    <w:rsid w:val="00F30988"/>
    <w:rsid w:val="00F36A48"/>
    <w:rsid w:val="00F74DF7"/>
    <w:rsid w:val="00F76C09"/>
    <w:rsid w:val="00F93E53"/>
    <w:rsid w:val="00F96516"/>
    <w:rsid w:val="00F97F53"/>
    <w:rsid w:val="00FA66D6"/>
    <w:rsid w:val="00FC359F"/>
    <w:rsid w:val="00FD1C16"/>
    <w:rsid w:val="00FE1EBB"/>
    <w:rsid w:val="00FE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Obinatablica11">
    <w:name w:val="Obična tablica 1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4ED"/>
  </w:style>
  <w:style w:type="paragraph" w:styleId="Podnoje">
    <w:name w:val="footer"/>
    <w:basedOn w:val="Normal"/>
    <w:link w:val="Podno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2458-5F0A-45D8-ADB1-DE656224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2613</Words>
  <Characters>14897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104</cp:revision>
  <cp:lastPrinted>2022-11-08T13:27:00Z</cp:lastPrinted>
  <dcterms:created xsi:type="dcterms:W3CDTF">2021-10-12T07:25:00Z</dcterms:created>
  <dcterms:modified xsi:type="dcterms:W3CDTF">2023-10-27T10:54:00Z</dcterms:modified>
</cp:coreProperties>
</file>